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rPr>
          <w:rFonts w:ascii="Cambria" w:cs="Cambria" w:eastAsia="Cambria" w:hAnsi="Cambria"/>
        </w:rPr>
      </w:pPr>
      <w:r w:rsidDel="00000000" w:rsidR="00000000" w:rsidRPr="00000000">
        <w:rPr>
          <w:rFonts w:ascii="Cambria" w:cs="Cambria" w:eastAsia="Cambria" w:hAnsi="Cambria"/>
          <w:rtl w:val="0"/>
        </w:rPr>
        <w:t xml:space="preserve">Controlled Substances Act</w:t>
      </w:r>
    </w:p>
    <w:p w:rsidR="00000000" w:rsidDel="00000000" w:rsidP="00000000" w:rsidRDefault="00000000" w:rsidRPr="00000000" w14:paraId="00000002">
      <w:pPr>
        <w:numPr>
          <w:ilvl w:val="0"/>
          <w:numId w:val="4"/>
        </w:numPr>
        <w:ind w:left="720" w:hanging="360"/>
        <w:rPr>
          <w:rFonts w:ascii="Cambria" w:cs="Cambria" w:eastAsia="Cambria" w:hAnsi="Cambria"/>
        </w:rPr>
      </w:pPr>
      <w:r w:rsidDel="00000000" w:rsidR="00000000" w:rsidRPr="00000000">
        <w:rPr>
          <w:rFonts w:ascii="Cambria" w:cs="Cambria" w:eastAsia="Cambria" w:hAnsi="Cambria"/>
          <w:rtl w:val="0"/>
        </w:rPr>
        <w:t xml:space="preserve">Schedules</w:t>
      </w:r>
    </w:p>
    <w:p w:rsidR="00000000" w:rsidDel="00000000" w:rsidP="00000000" w:rsidRDefault="00000000" w:rsidRPr="00000000" w14:paraId="00000003">
      <w:pPr>
        <w:numPr>
          <w:ilvl w:val="1"/>
          <w:numId w:val="4"/>
        </w:numPr>
        <w:ind w:left="1440" w:hanging="360"/>
        <w:rPr>
          <w:rFonts w:ascii="Cambria" w:cs="Cambria" w:eastAsia="Cambria" w:hAnsi="Cambria"/>
        </w:rPr>
      </w:pPr>
      <w:r w:rsidDel="00000000" w:rsidR="00000000" w:rsidRPr="00000000">
        <w:rPr>
          <w:rFonts w:ascii="Cambria" w:cs="Cambria" w:eastAsia="Cambria" w:hAnsi="Cambria"/>
          <w:rtl w:val="0"/>
        </w:rPr>
        <w:t xml:space="preserve">Schedule II</w:t>
      </w:r>
    </w:p>
    <w:p w:rsidR="00000000" w:rsidDel="00000000" w:rsidP="00000000" w:rsidRDefault="00000000" w:rsidRPr="00000000" w14:paraId="00000004">
      <w:pPr>
        <w:numPr>
          <w:ilvl w:val="2"/>
          <w:numId w:val="4"/>
        </w:numPr>
        <w:ind w:left="2160" w:hanging="360"/>
        <w:rPr>
          <w:rFonts w:ascii="Cambria" w:cs="Cambria" w:eastAsia="Cambria" w:hAnsi="Cambria"/>
        </w:rPr>
      </w:pPr>
      <w:r w:rsidDel="00000000" w:rsidR="00000000" w:rsidRPr="00000000">
        <w:rPr>
          <w:rFonts w:ascii="Cambria" w:cs="Cambria" w:eastAsia="Cambria" w:hAnsi="Cambria"/>
          <w:rtl w:val="0"/>
        </w:rPr>
        <w:t xml:space="preserve">Ex. nabilone (cesamet), demerol (meperidine)</w:t>
      </w:r>
    </w:p>
    <w:p w:rsidR="00000000" w:rsidDel="00000000" w:rsidP="00000000" w:rsidRDefault="00000000" w:rsidRPr="00000000" w14:paraId="00000005">
      <w:pPr>
        <w:numPr>
          <w:ilvl w:val="1"/>
          <w:numId w:val="4"/>
        </w:numPr>
        <w:ind w:left="1440" w:hanging="360"/>
        <w:rPr>
          <w:rFonts w:ascii="Cambria" w:cs="Cambria" w:eastAsia="Cambria" w:hAnsi="Cambria"/>
        </w:rPr>
      </w:pPr>
      <w:r w:rsidDel="00000000" w:rsidR="00000000" w:rsidRPr="00000000">
        <w:rPr>
          <w:rFonts w:ascii="Cambria" w:cs="Cambria" w:eastAsia="Cambria" w:hAnsi="Cambria"/>
          <w:rtl w:val="0"/>
        </w:rPr>
        <w:t xml:space="preserve">Schedule III</w:t>
      </w:r>
    </w:p>
    <w:p w:rsidR="00000000" w:rsidDel="00000000" w:rsidP="00000000" w:rsidRDefault="00000000" w:rsidRPr="00000000" w14:paraId="00000006">
      <w:pPr>
        <w:numPr>
          <w:ilvl w:val="2"/>
          <w:numId w:val="4"/>
        </w:numPr>
        <w:ind w:left="2160" w:hanging="360"/>
        <w:rPr>
          <w:rFonts w:ascii="Cambria" w:cs="Cambria" w:eastAsia="Cambria" w:hAnsi="Cambria"/>
        </w:rPr>
      </w:pPr>
      <w:r w:rsidDel="00000000" w:rsidR="00000000" w:rsidRPr="00000000">
        <w:rPr>
          <w:rFonts w:ascii="Cambria" w:cs="Cambria" w:eastAsia="Cambria" w:hAnsi="Cambria"/>
          <w:rtl w:val="0"/>
        </w:rPr>
        <w:t xml:space="preserve">have a potential for abuse less than substances in Schedules I or II and abuse may lead to moderate or low physical dependence or high psychological dependence.</w:t>
      </w:r>
    </w:p>
    <w:p w:rsidR="00000000" w:rsidDel="00000000" w:rsidP="00000000" w:rsidRDefault="00000000" w:rsidRPr="00000000" w14:paraId="00000007">
      <w:pPr>
        <w:numPr>
          <w:ilvl w:val="2"/>
          <w:numId w:val="4"/>
        </w:numPr>
        <w:ind w:left="2160" w:hanging="360"/>
        <w:rPr>
          <w:rFonts w:ascii="Cambria" w:cs="Cambria" w:eastAsia="Cambria" w:hAnsi="Cambria"/>
        </w:rPr>
      </w:pPr>
      <w:r w:rsidDel="00000000" w:rsidR="00000000" w:rsidRPr="00000000">
        <w:rPr>
          <w:rFonts w:ascii="Cambria" w:cs="Cambria" w:eastAsia="Cambria" w:hAnsi="Cambria"/>
          <w:rtl w:val="0"/>
        </w:rPr>
        <w:t xml:space="preserve">Ex. acetaminophen with codeine, buprenorphine, ketamine, oral or injectable anabolic steroids, marinol </w:t>
      </w:r>
    </w:p>
    <w:p w:rsidR="00000000" w:rsidDel="00000000" w:rsidP="00000000" w:rsidRDefault="00000000" w:rsidRPr="00000000" w14:paraId="00000008">
      <w:pPr>
        <w:numPr>
          <w:ilvl w:val="1"/>
          <w:numId w:val="4"/>
        </w:numPr>
        <w:ind w:left="1440" w:hanging="360"/>
        <w:rPr>
          <w:rFonts w:ascii="Cambria" w:cs="Cambria" w:eastAsia="Cambria" w:hAnsi="Cambria"/>
        </w:rPr>
      </w:pPr>
      <w:r w:rsidDel="00000000" w:rsidR="00000000" w:rsidRPr="00000000">
        <w:rPr>
          <w:rFonts w:ascii="Cambria" w:cs="Cambria" w:eastAsia="Cambria" w:hAnsi="Cambria"/>
          <w:rtl w:val="0"/>
        </w:rPr>
        <w:t xml:space="preserve">Schedule IV</w:t>
      </w:r>
    </w:p>
    <w:p w:rsidR="00000000" w:rsidDel="00000000" w:rsidP="00000000" w:rsidRDefault="00000000" w:rsidRPr="00000000" w14:paraId="00000009">
      <w:pPr>
        <w:numPr>
          <w:ilvl w:val="2"/>
          <w:numId w:val="4"/>
        </w:numPr>
        <w:ind w:left="2160" w:hanging="360"/>
        <w:rPr>
          <w:rFonts w:ascii="Cambria" w:cs="Cambria" w:eastAsia="Cambria" w:hAnsi="Cambria"/>
        </w:rPr>
      </w:pPr>
      <w:r w:rsidDel="00000000" w:rsidR="00000000" w:rsidRPr="00000000">
        <w:rPr>
          <w:rFonts w:ascii="Cambria" w:cs="Cambria" w:eastAsia="Cambria" w:hAnsi="Cambria"/>
          <w:rtl w:val="0"/>
        </w:rPr>
        <w:t xml:space="preserve">Substances in this schedule have a low potential for abuse relative to substances in Schedule III.</w:t>
      </w:r>
    </w:p>
    <w:p w:rsidR="00000000" w:rsidDel="00000000" w:rsidP="00000000" w:rsidRDefault="00000000" w:rsidRPr="00000000" w14:paraId="0000000A">
      <w:pPr>
        <w:numPr>
          <w:ilvl w:val="2"/>
          <w:numId w:val="4"/>
        </w:numPr>
        <w:ind w:left="2160" w:hanging="360"/>
        <w:rPr>
          <w:rFonts w:ascii="Cambria" w:cs="Cambria" w:eastAsia="Cambria" w:hAnsi="Cambria"/>
        </w:rPr>
      </w:pPr>
      <w:r w:rsidDel="00000000" w:rsidR="00000000" w:rsidRPr="00000000">
        <w:rPr>
          <w:rFonts w:ascii="Cambria" w:cs="Cambria" w:eastAsia="Cambria" w:hAnsi="Cambria"/>
          <w:rtl w:val="0"/>
        </w:rPr>
        <w:t xml:space="preserve">primarily sedatives and hypnotics (including alprazolam, diazepam, midazolam, etc.), carisoprodol, phenobarbital.</w:t>
      </w:r>
    </w:p>
    <w:p w:rsidR="00000000" w:rsidDel="00000000" w:rsidP="00000000" w:rsidRDefault="00000000" w:rsidRPr="00000000" w14:paraId="0000000B">
      <w:pPr>
        <w:numPr>
          <w:ilvl w:val="1"/>
          <w:numId w:val="4"/>
        </w:numPr>
        <w:spacing w:after="0" w:afterAutospacing="0" w:line="392.72727272727275" w:lineRule="auto"/>
        <w:ind w:left="1440" w:hanging="360"/>
        <w:rPr>
          <w:rFonts w:ascii="Cambria" w:cs="Cambria" w:eastAsia="Cambria" w:hAnsi="Cambria"/>
        </w:rPr>
      </w:pPr>
      <w:r w:rsidDel="00000000" w:rsidR="00000000" w:rsidRPr="00000000">
        <w:rPr>
          <w:rFonts w:ascii="Cambria" w:cs="Cambria" w:eastAsia="Cambria" w:hAnsi="Cambria"/>
          <w:rtl w:val="0"/>
        </w:rPr>
        <w:t xml:space="preserve">Schedule V</w:t>
      </w:r>
    </w:p>
    <w:p w:rsidR="00000000" w:rsidDel="00000000" w:rsidP="00000000" w:rsidRDefault="00000000" w:rsidRPr="00000000" w14:paraId="0000000C">
      <w:pPr>
        <w:numPr>
          <w:ilvl w:val="2"/>
          <w:numId w:val="4"/>
        </w:numPr>
        <w:spacing w:after="0" w:afterAutospacing="0" w:line="392.72727272727275" w:lineRule="auto"/>
        <w:ind w:left="2160" w:hanging="360"/>
        <w:rPr>
          <w:rFonts w:ascii="Cambria" w:cs="Cambria" w:eastAsia="Cambria" w:hAnsi="Cambria"/>
        </w:rPr>
      </w:pPr>
      <w:r w:rsidDel="00000000" w:rsidR="00000000" w:rsidRPr="00000000">
        <w:rPr>
          <w:rFonts w:ascii="Cambria" w:cs="Cambria" w:eastAsia="Cambria" w:hAnsi="Cambria"/>
          <w:rtl w:val="0"/>
        </w:rPr>
        <w:t xml:space="preserve">Substances in this schedule have a low potential for abuse relative to substances listed in Schedule IV and consist primarily of preparations containing limited quantities of certain narcotics.</w:t>
      </w:r>
    </w:p>
    <w:p w:rsidR="00000000" w:rsidDel="00000000" w:rsidP="00000000" w:rsidRDefault="00000000" w:rsidRPr="00000000" w14:paraId="0000000D">
      <w:pPr>
        <w:numPr>
          <w:ilvl w:val="2"/>
          <w:numId w:val="4"/>
        </w:numPr>
        <w:spacing w:after="0" w:afterAutospacing="0" w:line="392.72727272727275" w:lineRule="auto"/>
        <w:ind w:left="2160" w:hanging="360"/>
        <w:rPr>
          <w:rFonts w:ascii="Cambria" w:cs="Cambria" w:eastAsia="Cambria" w:hAnsi="Cambria"/>
        </w:rPr>
      </w:pPr>
      <w:r w:rsidDel="00000000" w:rsidR="00000000" w:rsidRPr="00000000">
        <w:rPr>
          <w:rFonts w:ascii="Cambria" w:cs="Cambria" w:eastAsia="Cambria" w:hAnsi="Cambria"/>
          <w:rtl w:val="0"/>
        </w:rPr>
        <w:t xml:space="preserve">These are generally used for antitussive, antidiarrheal, and analgesic purposes, and if available without a prescription are referred to as “exempt narcotics.”</w:t>
      </w:r>
    </w:p>
    <w:p w:rsidR="00000000" w:rsidDel="00000000" w:rsidP="00000000" w:rsidRDefault="00000000" w:rsidRPr="00000000" w14:paraId="0000000E">
      <w:pPr>
        <w:numPr>
          <w:ilvl w:val="2"/>
          <w:numId w:val="4"/>
        </w:numPr>
        <w:spacing w:after="0" w:afterAutospacing="0" w:line="392.72727272727275" w:lineRule="auto"/>
        <w:ind w:left="2160" w:hanging="360"/>
        <w:rPr>
          <w:rFonts w:ascii="Cambria" w:cs="Cambria" w:eastAsia="Cambria" w:hAnsi="Cambria"/>
        </w:rPr>
      </w:pPr>
      <w:r w:rsidDel="00000000" w:rsidR="00000000" w:rsidRPr="00000000">
        <w:rPr>
          <w:rFonts w:ascii="Cambria" w:cs="Cambria" w:eastAsia="Cambria" w:hAnsi="Cambria"/>
          <w:rtl w:val="0"/>
        </w:rPr>
        <w:t xml:space="preserve">Examples: preparations containing not more than 200 mg of codeine per 100 mL or per 100 g, diphenoxylate with </w:t>
      </w:r>
      <w:hyperlink r:id="rId6">
        <w:r w:rsidDel="00000000" w:rsidR="00000000" w:rsidRPr="00000000">
          <w:rPr>
            <w:rFonts w:ascii="Cambria" w:cs="Cambria" w:eastAsia="Cambria" w:hAnsi="Cambria"/>
            <w:rtl w:val="0"/>
          </w:rPr>
          <w:t xml:space="preserve">atropine</w:t>
        </w:r>
      </w:hyperlink>
      <w:r w:rsidDel="00000000" w:rsidR="00000000" w:rsidRPr="00000000">
        <w:rPr>
          <w:rFonts w:ascii="Cambria" w:cs="Cambria" w:eastAsia="Cambria" w:hAnsi="Cambria"/>
          <w:rtl w:val="0"/>
        </w:rPr>
        <w:t xml:space="preserve">, cough and cold preparations containing codeine (Robitussin A-C, Phenergan VC, etc.).</w:t>
      </w:r>
    </w:p>
    <w:p w:rsidR="00000000" w:rsidDel="00000000" w:rsidP="00000000" w:rsidRDefault="00000000" w:rsidRPr="00000000" w14:paraId="0000000F">
      <w:pPr>
        <w:numPr>
          <w:ilvl w:val="0"/>
          <w:numId w:val="23"/>
        </w:numPr>
        <w:ind w:left="720" w:hanging="360"/>
        <w:rPr>
          <w:rFonts w:ascii="Cambria" w:cs="Cambria" w:eastAsia="Cambria" w:hAnsi="Cambria"/>
        </w:rPr>
      </w:pPr>
      <w:r w:rsidDel="00000000" w:rsidR="00000000" w:rsidRPr="00000000">
        <w:rPr>
          <w:rFonts w:ascii="Cambria" w:cs="Cambria" w:eastAsia="Cambria" w:hAnsi="Cambria"/>
          <w:rtl w:val="0"/>
        </w:rPr>
        <w:t xml:space="preserve">Registration</w:t>
      </w:r>
    </w:p>
    <w:p w:rsidR="00000000" w:rsidDel="00000000" w:rsidP="00000000" w:rsidRDefault="00000000" w:rsidRPr="00000000" w14:paraId="00000010">
      <w:pPr>
        <w:numPr>
          <w:ilvl w:val="1"/>
          <w:numId w:val="23"/>
        </w:numPr>
        <w:ind w:left="1440" w:hanging="360"/>
        <w:rPr>
          <w:rFonts w:ascii="Cambria" w:cs="Cambria" w:eastAsia="Cambria" w:hAnsi="Cambria"/>
        </w:rPr>
      </w:pPr>
      <w:r w:rsidDel="00000000" w:rsidR="00000000" w:rsidRPr="00000000">
        <w:rPr>
          <w:rFonts w:ascii="Cambria" w:cs="Cambria" w:eastAsia="Cambria" w:hAnsi="Cambria"/>
          <w:rtl w:val="0"/>
        </w:rPr>
        <w:t xml:space="preserve">To register as a new pharmacy, a state license must be obtained and DEA Form 224 must be completed.</w:t>
      </w:r>
    </w:p>
    <w:p w:rsidR="00000000" w:rsidDel="00000000" w:rsidP="00000000" w:rsidRDefault="00000000" w:rsidRPr="00000000" w14:paraId="00000011">
      <w:pPr>
        <w:numPr>
          <w:ilvl w:val="1"/>
          <w:numId w:val="23"/>
        </w:numPr>
        <w:ind w:left="1440" w:hanging="360"/>
        <w:rPr>
          <w:rFonts w:ascii="Cambria" w:cs="Cambria" w:eastAsia="Cambria" w:hAnsi="Cambria"/>
        </w:rPr>
      </w:pPr>
      <w:r w:rsidDel="00000000" w:rsidR="00000000" w:rsidRPr="00000000">
        <w:rPr>
          <w:rFonts w:ascii="Cambria" w:cs="Cambria" w:eastAsia="Cambria" w:hAnsi="Cambria"/>
          <w:rtl w:val="0"/>
        </w:rPr>
        <w:t xml:space="preserve">Manufacturers/wholesalers/importers/exporters/researchers register with DEA Form 225, and renew with 225a</w:t>
      </w:r>
    </w:p>
    <w:p w:rsidR="00000000" w:rsidDel="00000000" w:rsidP="00000000" w:rsidRDefault="00000000" w:rsidRPr="00000000" w14:paraId="00000012">
      <w:pPr>
        <w:numPr>
          <w:ilvl w:val="1"/>
          <w:numId w:val="23"/>
        </w:numPr>
        <w:ind w:left="1440" w:hanging="360"/>
        <w:rPr>
          <w:rFonts w:ascii="Cambria" w:cs="Cambria" w:eastAsia="Cambria" w:hAnsi="Cambria"/>
        </w:rPr>
      </w:pPr>
      <w:r w:rsidDel="00000000" w:rsidR="00000000" w:rsidRPr="00000000">
        <w:rPr>
          <w:rFonts w:ascii="Cambria" w:cs="Cambria" w:eastAsia="Cambria" w:hAnsi="Cambria"/>
          <w:rtl w:val="0"/>
        </w:rPr>
        <w:t xml:space="preserve">Separate registration is needed for each pharmacy owned or operated by the same entity.</w:t>
      </w:r>
    </w:p>
    <w:p w:rsidR="00000000" w:rsidDel="00000000" w:rsidP="00000000" w:rsidRDefault="00000000" w:rsidRPr="00000000" w14:paraId="00000013">
      <w:pPr>
        <w:numPr>
          <w:ilvl w:val="1"/>
          <w:numId w:val="23"/>
        </w:numPr>
        <w:ind w:left="1440" w:hanging="360"/>
        <w:rPr>
          <w:rFonts w:ascii="Cambria" w:cs="Cambria" w:eastAsia="Cambria" w:hAnsi="Cambria"/>
        </w:rPr>
      </w:pPr>
      <w:r w:rsidDel="00000000" w:rsidR="00000000" w:rsidRPr="00000000">
        <w:rPr>
          <w:rFonts w:ascii="Cambria" w:cs="Cambria" w:eastAsia="Cambria" w:hAnsi="Cambria"/>
          <w:rtl w:val="0"/>
        </w:rPr>
        <w:t xml:space="preserve">A pharmacy registration must be renewed every three years utilizing DEA Form 224a.</w:t>
      </w:r>
    </w:p>
    <w:p w:rsidR="00000000" w:rsidDel="00000000" w:rsidP="00000000" w:rsidRDefault="00000000" w:rsidRPr="00000000" w14:paraId="00000014">
      <w:pPr>
        <w:numPr>
          <w:ilvl w:val="1"/>
          <w:numId w:val="23"/>
        </w:numPr>
        <w:ind w:left="1440" w:hanging="360"/>
        <w:rPr>
          <w:rFonts w:ascii="Cambria" w:cs="Cambria" w:eastAsia="Cambria" w:hAnsi="Cambria"/>
        </w:rPr>
      </w:pPr>
      <w:r w:rsidDel="00000000" w:rsidR="00000000" w:rsidRPr="00000000">
        <w:rPr>
          <w:rFonts w:ascii="Cambria" w:cs="Cambria" w:eastAsia="Cambria" w:hAnsi="Cambria"/>
          <w:i w:val="1"/>
          <w:rtl w:val="0"/>
        </w:rPr>
        <w:t xml:space="preserve">Denial, Suspension, or Revocation of Registration</w:t>
      </w:r>
    </w:p>
    <w:p w:rsidR="00000000" w:rsidDel="00000000" w:rsidP="00000000" w:rsidRDefault="00000000" w:rsidRPr="00000000" w14:paraId="00000015">
      <w:pPr>
        <w:numPr>
          <w:ilvl w:val="2"/>
          <w:numId w:val="23"/>
        </w:numPr>
        <w:ind w:left="2160" w:hanging="360"/>
        <w:rPr>
          <w:rFonts w:ascii="Cambria" w:cs="Cambria" w:eastAsia="Cambria" w:hAnsi="Cambria"/>
        </w:rPr>
      </w:pPr>
      <w:r w:rsidDel="00000000" w:rsidR="00000000" w:rsidRPr="00000000">
        <w:rPr>
          <w:rFonts w:ascii="Cambria" w:cs="Cambria" w:eastAsia="Cambria" w:hAnsi="Cambria"/>
          <w:rtl w:val="0"/>
        </w:rPr>
        <w:t xml:space="preserve">Has been excluded from participation in a Medicare or Medicaid program.</w:t>
      </w:r>
    </w:p>
    <w:p w:rsidR="00000000" w:rsidDel="00000000" w:rsidP="00000000" w:rsidRDefault="00000000" w:rsidRPr="00000000" w14:paraId="00000016">
      <w:pPr>
        <w:numPr>
          <w:ilvl w:val="1"/>
          <w:numId w:val="23"/>
        </w:numPr>
        <w:ind w:left="1440" w:hanging="360"/>
        <w:rPr>
          <w:rFonts w:ascii="Cambria" w:cs="Cambria" w:eastAsia="Cambria" w:hAnsi="Cambria"/>
        </w:rPr>
      </w:pPr>
      <w:r w:rsidDel="00000000" w:rsidR="00000000" w:rsidRPr="00000000">
        <w:rPr>
          <w:rFonts w:ascii="Cambria" w:cs="Cambria" w:eastAsia="Cambria" w:hAnsi="Cambria"/>
          <w:rtl w:val="0"/>
        </w:rPr>
        <w:t xml:space="preserve">Multiple registrations for different activities </w:t>
      </w:r>
    </w:p>
    <w:p w:rsidR="00000000" w:rsidDel="00000000" w:rsidP="00000000" w:rsidRDefault="00000000" w:rsidRPr="00000000" w14:paraId="00000017">
      <w:pPr>
        <w:numPr>
          <w:ilvl w:val="2"/>
          <w:numId w:val="23"/>
        </w:numPr>
        <w:ind w:left="2160" w:hanging="360"/>
        <w:rPr>
          <w:rFonts w:ascii="Cambria" w:cs="Cambria" w:eastAsia="Cambria" w:hAnsi="Cambria"/>
        </w:rPr>
      </w:pPr>
      <w:r w:rsidDel="00000000" w:rsidR="00000000" w:rsidRPr="00000000">
        <w:rPr>
          <w:rFonts w:ascii="Cambria" w:cs="Cambria" w:eastAsia="Cambria" w:hAnsi="Cambria"/>
          <w:rtl w:val="0"/>
        </w:rPr>
        <w:t xml:space="preserve">Pharmacy as Distributor—Pharmacy must register as a controlled substances distributor if: (1) it participates in joint buying activities, and is the location from which drugs are stored and shipped to other pharmacies; or (2) its annual distribution of controlled substances to other pharmacies or practitioners exceeds five percent (5%) of the total number of dosage units dispensed.</w:t>
      </w:r>
    </w:p>
    <w:p w:rsidR="00000000" w:rsidDel="00000000" w:rsidP="00000000" w:rsidRDefault="00000000" w:rsidRPr="00000000" w14:paraId="00000018">
      <w:pPr>
        <w:numPr>
          <w:ilvl w:val="2"/>
          <w:numId w:val="23"/>
        </w:numPr>
        <w:ind w:left="2160" w:hanging="360"/>
        <w:rPr>
          <w:rFonts w:ascii="Cambria" w:cs="Cambria" w:eastAsia="Cambria" w:hAnsi="Cambria"/>
        </w:rPr>
      </w:pPr>
      <w:r w:rsidDel="00000000" w:rsidR="00000000" w:rsidRPr="00000000">
        <w:rPr>
          <w:rFonts w:ascii="Cambria" w:cs="Cambria" w:eastAsia="Cambria" w:hAnsi="Cambria"/>
          <w:rtl w:val="0"/>
        </w:rPr>
        <w:t xml:space="preserve">Pharmacy as “Detox Compounder”—A pharmacy that compounds a controlled substance product for sale or distribution to a narcotic treatment program for purposes of addiction treatment must register as a “detox compounder.”</w:t>
      </w:r>
    </w:p>
    <w:p w:rsidR="00000000" w:rsidDel="00000000" w:rsidP="00000000" w:rsidRDefault="00000000" w:rsidRPr="00000000" w14:paraId="00000019">
      <w:pPr>
        <w:numPr>
          <w:ilvl w:val="1"/>
          <w:numId w:val="23"/>
        </w:numPr>
        <w:ind w:left="1440" w:hanging="360"/>
        <w:rPr>
          <w:rFonts w:ascii="Cambria" w:cs="Cambria" w:eastAsia="Cambria" w:hAnsi="Cambria"/>
        </w:rPr>
      </w:pPr>
      <w:r w:rsidDel="00000000" w:rsidR="00000000" w:rsidRPr="00000000">
        <w:rPr>
          <w:rFonts w:ascii="Cambria" w:cs="Cambria" w:eastAsia="Cambria" w:hAnsi="Cambria"/>
          <w:rtl w:val="0"/>
        </w:rPr>
        <w:t xml:space="preserve">DEA number</w:t>
      </w:r>
    </w:p>
    <w:p w:rsidR="00000000" w:rsidDel="00000000" w:rsidP="00000000" w:rsidRDefault="00000000" w:rsidRPr="00000000" w14:paraId="0000001A">
      <w:pPr>
        <w:numPr>
          <w:ilvl w:val="2"/>
          <w:numId w:val="23"/>
        </w:numPr>
        <w:ind w:left="2160" w:hanging="360"/>
        <w:rPr>
          <w:rFonts w:ascii="Cambria" w:cs="Cambria" w:eastAsia="Cambria" w:hAnsi="Cambria"/>
        </w:rPr>
      </w:pPr>
      <w:r w:rsidDel="00000000" w:rsidR="00000000" w:rsidRPr="00000000">
        <w:rPr>
          <w:rFonts w:ascii="Cambria" w:cs="Cambria" w:eastAsia="Cambria" w:hAnsi="Cambria"/>
          <w:rtl w:val="0"/>
        </w:rPr>
        <w:t xml:space="preserve">A DEA number is a series of two letters, followed by seven numerical digits.</w:t>
      </w:r>
    </w:p>
    <w:p w:rsidR="00000000" w:rsidDel="00000000" w:rsidP="00000000" w:rsidRDefault="00000000" w:rsidRPr="00000000" w14:paraId="0000001B">
      <w:pPr>
        <w:numPr>
          <w:ilvl w:val="2"/>
          <w:numId w:val="23"/>
        </w:numPr>
        <w:spacing w:after="0" w:afterAutospacing="0" w:line="392.72727272727275" w:lineRule="auto"/>
        <w:ind w:left="2160" w:hanging="360"/>
        <w:rPr>
          <w:rFonts w:ascii="Cambria" w:cs="Cambria" w:eastAsia="Cambria" w:hAnsi="Cambria"/>
        </w:rPr>
      </w:pPr>
      <w:r w:rsidDel="00000000" w:rsidR="00000000" w:rsidRPr="00000000">
        <w:rPr>
          <w:rFonts w:ascii="Cambria" w:cs="Cambria" w:eastAsia="Cambria" w:hAnsi="Cambria"/>
          <w:rtl w:val="0"/>
        </w:rPr>
        <w:t xml:space="preserve">If the prescriber is a physician (including an osteopathic physician), the DEA number will begin with an “A,” “B,” or “F,” followed (usually) by the first letter of the prescriber’s last name.</w:t>
      </w:r>
    </w:p>
    <w:p w:rsidR="00000000" w:rsidDel="00000000" w:rsidP="00000000" w:rsidRDefault="00000000" w:rsidRPr="00000000" w14:paraId="0000001C">
      <w:pPr>
        <w:numPr>
          <w:ilvl w:val="2"/>
          <w:numId w:val="23"/>
        </w:numPr>
        <w:spacing w:after="0" w:afterAutospacing="0" w:line="392.72727272727275" w:lineRule="auto"/>
        <w:ind w:left="2160" w:hanging="360"/>
        <w:rPr>
          <w:rFonts w:ascii="Cambria" w:cs="Cambria" w:eastAsia="Cambria" w:hAnsi="Cambria"/>
        </w:rPr>
      </w:pPr>
      <w:r w:rsidDel="00000000" w:rsidR="00000000" w:rsidRPr="00000000">
        <w:rPr>
          <w:rFonts w:ascii="Cambria" w:cs="Cambria" w:eastAsia="Cambria" w:hAnsi="Cambria"/>
          <w:rtl w:val="0"/>
        </w:rPr>
        <w:t xml:space="preserve">If the prescriber is a “mid-level practitioner,” the DEA numbers starting with an “M,” followed (usually) by the first letter of the prescriber’s last name. “Mid-level practitioners” include the following:</w:t>
      </w:r>
    </w:p>
    <w:p w:rsidR="00000000" w:rsidDel="00000000" w:rsidP="00000000" w:rsidRDefault="00000000" w:rsidRPr="00000000" w14:paraId="0000001D">
      <w:pPr>
        <w:numPr>
          <w:ilvl w:val="3"/>
          <w:numId w:val="23"/>
        </w:numPr>
        <w:spacing w:after="0" w:afterAutospacing="0" w:line="360" w:lineRule="auto"/>
        <w:ind w:left="2880" w:hanging="360"/>
        <w:rPr>
          <w:rFonts w:ascii="Cambria" w:cs="Cambria" w:eastAsia="Cambria" w:hAnsi="Cambria"/>
        </w:rPr>
      </w:pPr>
      <w:r w:rsidDel="00000000" w:rsidR="00000000" w:rsidRPr="00000000">
        <w:rPr>
          <w:rFonts w:ascii="Cambria" w:cs="Cambria" w:eastAsia="Cambria" w:hAnsi="Cambria"/>
          <w:rtl w:val="0"/>
        </w:rPr>
        <w:t xml:space="preserve">Nurse practitioners</w:t>
      </w:r>
    </w:p>
    <w:p w:rsidR="00000000" w:rsidDel="00000000" w:rsidP="00000000" w:rsidRDefault="00000000" w:rsidRPr="00000000" w14:paraId="0000001E">
      <w:pPr>
        <w:numPr>
          <w:ilvl w:val="3"/>
          <w:numId w:val="23"/>
        </w:numPr>
        <w:spacing w:after="0" w:afterAutospacing="0" w:line="360" w:lineRule="auto"/>
        <w:ind w:left="2880" w:hanging="360"/>
        <w:rPr>
          <w:rFonts w:ascii="Cambria" w:cs="Cambria" w:eastAsia="Cambria" w:hAnsi="Cambria"/>
        </w:rPr>
      </w:pPr>
      <w:r w:rsidDel="00000000" w:rsidR="00000000" w:rsidRPr="00000000">
        <w:rPr>
          <w:rFonts w:ascii="Cambria" w:cs="Cambria" w:eastAsia="Cambria" w:hAnsi="Cambria"/>
          <w:rtl w:val="0"/>
        </w:rPr>
        <w:t xml:space="preserve">Physician assistants</w:t>
      </w:r>
    </w:p>
    <w:p w:rsidR="00000000" w:rsidDel="00000000" w:rsidP="00000000" w:rsidRDefault="00000000" w:rsidRPr="00000000" w14:paraId="0000001F">
      <w:pPr>
        <w:numPr>
          <w:ilvl w:val="3"/>
          <w:numId w:val="23"/>
        </w:numPr>
        <w:spacing w:after="0" w:afterAutospacing="0" w:line="360" w:lineRule="auto"/>
        <w:ind w:left="2880" w:hanging="360"/>
        <w:rPr>
          <w:rFonts w:ascii="Cambria" w:cs="Cambria" w:eastAsia="Cambria" w:hAnsi="Cambria"/>
        </w:rPr>
      </w:pPr>
      <w:r w:rsidDel="00000000" w:rsidR="00000000" w:rsidRPr="00000000">
        <w:rPr>
          <w:rFonts w:ascii="Cambria" w:cs="Cambria" w:eastAsia="Cambria" w:hAnsi="Cambria"/>
          <w:rtl w:val="0"/>
        </w:rPr>
        <w:t xml:space="preserve">Optometrists</w:t>
      </w:r>
    </w:p>
    <w:p w:rsidR="00000000" w:rsidDel="00000000" w:rsidP="00000000" w:rsidRDefault="00000000" w:rsidRPr="00000000" w14:paraId="00000020">
      <w:pPr>
        <w:numPr>
          <w:ilvl w:val="3"/>
          <w:numId w:val="23"/>
        </w:numPr>
        <w:spacing w:after="0" w:afterAutospacing="0" w:line="360" w:lineRule="auto"/>
        <w:ind w:left="2880" w:hanging="360"/>
        <w:rPr>
          <w:rFonts w:ascii="Cambria" w:cs="Cambria" w:eastAsia="Cambria" w:hAnsi="Cambria"/>
        </w:rPr>
      </w:pPr>
      <w:r w:rsidDel="00000000" w:rsidR="00000000" w:rsidRPr="00000000">
        <w:rPr>
          <w:rFonts w:ascii="Cambria" w:cs="Cambria" w:eastAsia="Cambria" w:hAnsi="Cambria"/>
          <w:rtl w:val="0"/>
        </w:rPr>
        <w:t xml:space="preserve">Pharmacists</w:t>
      </w:r>
    </w:p>
    <w:p w:rsidR="00000000" w:rsidDel="00000000" w:rsidP="00000000" w:rsidRDefault="00000000" w:rsidRPr="00000000" w14:paraId="00000021">
      <w:pPr>
        <w:numPr>
          <w:ilvl w:val="3"/>
          <w:numId w:val="23"/>
        </w:numPr>
        <w:spacing w:after="0" w:afterAutospacing="0" w:line="360" w:lineRule="auto"/>
        <w:ind w:left="2880" w:hanging="360"/>
        <w:rPr>
          <w:rFonts w:ascii="Cambria" w:cs="Cambria" w:eastAsia="Cambria" w:hAnsi="Cambria"/>
        </w:rPr>
      </w:pPr>
      <w:r w:rsidDel="00000000" w:rsidR="00000000" w:rsidRPr="00000000">
        <w:rPr>
          <w:rFonts w:ascii="Cambria" w:cs="Cambria" w:eastAsia="Cambria" w:hAnsi="Cambria"/>
          <w:rtl w:val="0"/>
        </w:rPr>
        <w:t xml:space="preserve">Chiropractor</w:t>
      </w:r>
    </w:p>
    <w:p w:rsidR="00000000" w:rsidDel="00000000" w:rsidP="00000000" w:rsidRDefault="00000000" w:rsidRPr="00000000" w14:paraId="00000022">
      <w:pPr>
        <w:numPr>
          <w:ilvl w:val="3"/>
          <w:numId w:val="23"/>
        </w:numPr>
        <w:spacing w:after="240" w:line="360" w:lineRule="auto"/>
        <w:ind w:left="2880" w:hanging="360"/>
        <w:rPr>
          <w:rFonts w:ascii="Cambria" w:cs="Cambria" w:eastAsia="Cambria" w:hAnsi="Cambria"/>
        </w:rPr>
      </w:pPr>
      <w:r w:rsidDel="00000000" w:rsidR="00000000" w:rsidRPr="00000000">
        <w:rPr>
          <w:rFonts w:ascii="Cambria" w:cs="Cambria" w:eastAsia="Cambria" w:hAnsi="Cambria"/>
          <w:rtl w:val="0"/>
        </w:rPr>
        <w:t xml:space="preserve">Naturopaths</w:t>
      </w:r>
    </w:p>
    <w:p w:rsidR="00000000" w:rsidDel="00000000" w:rsidP="00000000" w:rsidRDefault="00000000" w:rsidRPr="00000000" w14:paraId="00000023">
      <w:pPr>
        <w:pBdr>
          <w:top w:color="auto" w:space="0" w:sz="0" w:val="none"/>
          <w:left w:color="auto" w:space="0" w:sz="0" w:val="none"/>
          <w:bottom w:color="auto" w:space="0" w:sz="0" w:val="none"/>
          <w:right w:color="auto" w:space="0" w:sz="0" w:val="none"/>
          <w:between w:color="auto" w:space="0" w:sz="0" w:val="none"/>
        </w:pBdr>
        <w:spacing w:after="280" w:lineRule="auto"/>
        <w:rPr>
          <w:rFonts w:ascii="Cambria" w:cs="Cambria" w:eastAsia="Cambria" w:hAnsi="Cambria"/>
        </w:rPr>
      </w:pPr>
      <w:r w:rsidDel="00000000" w:rsidR="00000000" w:rsidRPr="00000000">
        <w:rPr>
          <w:rFonts w:ascii="Cambria" w:cs="Cambria" w:eastAsia="Cambria" w:hAnsi="Cambria"/>
          <w:rtl w:val="0"/>
        </w:rPr>
        <w:t xml:space="preserve">The two letters are followed by 7 numbers. The numbers follow a formula that can be used to verify the number:</w:t>
      </w:r>
    </w:p>
    <w:p w:rsidR="00000000" w:rsidDel="00000000" w:rsidP="00000000" w:rsidRDefault="00000000" w:rsidRPr="00000000" w14:paraId="00000024">
      <w:pPr>
        <w:numPr>
          <w:ilvl w:val="0"/>
          <w:numId w:val="16"/>
        </w:numPr>
        <w:spacing w:after="0" w:afterAutospacing="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Add digits 1, 3, and 5</w:t>
      </w:r>
    </w:p>
    <w:p w:rsidR="00000000" w:rsidDel="00000000" w:rsidP="00000000" w:rsidRDefault="00000000" w:rsidRPr="00000000" w14:paraId="00000025">
      <w:pPr>
        <w:numPr>
          <w:ilvl w:val="0"/>
          <w:numId w:val="16"/>
        </w:numPr>
        <w:spacing w:after="0" w:afterAutospacing="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Add digits 2, 4, and 6, and multiply the sum by two.</w:t>
      </w:r>
    </w:p>
    <w:p w:rsidR="00000000" w:rsidDel="00000000" w:rsidP="00000000" w:rsidRDefault="00000000" w:rsidRPr="00000000" w14:paraId="00000026">
      <w:pPr>
        <w:numPr>
          <w:ilvl w:val="0"/>
          <w:numId w:val="16"/>
        </w:numPr>
        <w:spacing w:after="0" w:afterAutospacing="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Add the results of the above and the last number of the summation should equal last number in the DEA number</w:t>
      </w:r>
    </w:p>
    <w:p w:rsidR="00000000" w:rsidDel="00000000" w:rsidP="00000000" w:rsidRDefault="00000000" w:rsidRPr="00000000" w14:paraId="00000027">
      <w:pPr>
        <w:numPr>
          <w:ilvl w:val="1"/>
          <w:numId w:val="16"/>
        </w:numPr>
        <w:spacing w:after="0" w:afterAutospacing="0" w:line="360" w:lineRule="auto"/>
        <w:ind w:left="144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Example: DEA No. AB3878432 can be verified as follows:</w:t>
      </w:r>
    </w:p>
    <w:p w:rsidR="00000000" w:rsidDel="00000000" w:rsidP="00000000" w:rsidRDefault="00000000" w:rsidRPr="00000000" w14:paraId="00000028">
      <w:pPr>
        <w:numPr>
          <w:ilvl w:val="2"/>
          <w:numId w:val="16"/>
        </w:numPr>
        <w:spacing w:after="0" w:afterAutospacing="0" w:line="360" w:lineRule="auto"/>
        <w:ind w:left="216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3 + 7 + 4 = 14;</w:t>
      </w:r>
    </w:p>
    <w:p w:rsidR="00000000" w:rsidDel="00000000" w:rsidP="00000000" w:rsidRDefault="00000000" w:rsidRPr="00000000" w14:paraId="00000029">
      <w:pPr>
        <w:numPr>
          <w:ilvl w:val="2"/>
          <w:numId w:val="16"/>
        </w:numPr>
        <w:spacing w:after="0" w:afterAutospacing="0" w:line="360" w:lineRule="auto"/>
        <w:ind w:left="216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8 + 8 + 3 = 19; 19 × 2 = 38;</w:t>
      </w:r>
    </w:p>
    <w:p w:rsidR="00000000" w:rsidDel="00000000" w:rsidP="00000000" w:rsidRDefault="00000000" w:rsidRPr="00000000" w14:paraId="0000002A">
      <w:pPr>
        <w:numPr>
          <w:ilvl w:val="2"/>
          <w:numId w:val="16"/>
        </w:numPr>
        <w:spacing w:after="0" w:afterAutospacing="0" w:line="360" w:lineRule="auto"/>
        <w:ind w:left="216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14 + 38 = 52;</w:t>
      </w:r>
    </w:p>
    <w:p w:rsidR="00000000" w:rsidDel="00000000" w:rsidP="00000000" w:rsidRDefault="00000000" w:rsidRPr="00000000" w14:paraId="0000002B">
      <w:pPr>
        <w:numPr>
          <w:ilvl w:val="2"/>
          <w:numId w:val="16"/>
        </w:numPr>
        <w:spacing w:after="240" w:line="360" w:lineRule="auto"/>
        <w:ind w:left="216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The seventh digit of the DEA number should be “2” (i.e., AB3878432). If it is not, the number is incorrect, and fraud may be suspected.</w:t>
      </w:r>
    </w:p>
    <w:p w:rsidR="00000000" w:rsidDel="00000000" w:rsidP="00000000" w:rsidRDefault="00000000" w:rsidRPr="00000000" w14:paraId="0000002C">
      <w:pPr>
        <w:ind w:left="0" w:firstLine="0"/>
        <w:rPr>
          <w:rFonts w:ascii="Cambria" w:cs="Cambria" w:eastAsia="Cambria" w:hAnsi="Cambria"/>
        </w:rPr>
      </w:pPr>
      <w:r w:rsidDel="00000000" w:rsidR="00000000" w:rsidRPr="00000000">
        <w:rPr>
          <w:rFonts w:ascii="Cambria" w:cs="Cambria" w:eastAsia="Cambria" w:hAnsi="Cambria"/>
          <w:rtl w:val="0"/>
        </w:rPr>
        <w:t xml:space="preserve">Transfer of Controlled Substances (III)</w:t>
      </w:r>
    </w:p>
    <w:p w:rsidR="00000000" w:rsidDel="00000000" w:rsidP="00000000" w:rsidRDefault="00000000" w:rsidRPr="00000000" w14:paraId="0000002D">
      <w:pPr>
        <w:numPr>
          <w:ilvl w:val="0"/>
          <w:numId w:val="35"/>
        </w:numPr>
        <w:ind w:left="720" w:hanging="360"/>
        <w:rPr>
          <w:rFonts w:ascii="Cambria" w:cs="Cambria" w:eastAsia="Cambria" w:hAnsi="Cambria"/>
        </w:rPr>
      </w:pPr>
      <w:r w:rsidDel="00000000" w:rsidR="00000000" w:rsidRPr="00000000">
        <w:rPr>
          <w:rFonts w:ascii="Cambria" w:cs="Cambria" w:eastAsia="Cambria" w:hAnsi="Cambria"/>
          <w:rtl w:val="0"/>
        </w:rPr>
        <w:t xml:space="preserve">To transfer Schedule II substances, the receiving registrant must issue an official order form (DEA Form 222) or an electronic equivalent to the registrant transferring the drugs.</w:t>
      </w:r>
    </w:p>
    <w:p w:rsidR="00000000" w:rsidDel="00000000" w:rsidP="00000000" w:rsidRDefault="00000000" w:rsidRPr="00000000" w14:paraId="0000002E">
      <w:pPr>
        <w:numPr>
          <w:ilvl w:val="0"/>
          <w:numId w:val="35"/>
        </w:numPr>
        <w:spacing w:after="0" w:afterAutospacing="0" w:line="392.72727272727275" w:lineRule="auto"/>
        <w:ind w:left="720" w:hanging="360"/>
        <w:rPr>
          <w:rFonts w:ascii="Cambria" w:cs="Cambria" w:eastAsia="Cambria" w:hAnsi="Cambria"/>
        </w:rPr>
      </w:pPr>
      <w:r w:rsidDel="00000000" w:rsidR="00000000" w:rsidRPr="00000000">
        <w:rPr>
          <w:rFonts w:ascii="Cambria" w:cs="Cambria" w:eastAsia="Cambria" w:hAnsi="Cambria"/>
          <w:rtl w:val="0"/>
        </w:rPr>
        <w:t xml:space="preserve">The DEA Form 222 is a “triplicate” form. When used to transfer a Schedule II, the entity that is ordering or requesting the drug (typically the pharmacy) must complete the form and keep copy No. 3 of the form.</w:t>
      </w:r>
    </w:p>
    <w:p w:rsidR="00000000" w:rsidDel="00000000" w:rsidP="00000000" w:rsidRDefault="00000000" w:rsidRPr="00000000" w14:paraId="0000002F">
      <w:pPr>
        <w:numPr>
          <w:ilvl w:val="0"/>
          <w:numId w:val="35"/>
        </w:numPr>
        <w:spacing w:after="240" w:line="392.72727272727275" w:lineRule="auto"/>
        <w:ind w:left="720" w:hanging="360"/>
        <w:rPr>
          <w:rFonts w:ascii="Cambria" w:cs="Cambria" w:eastAsia="Cambria" w:hAnsi="Cambria"/>
        </w:rPr>
      </w:pPr>
      <w:r w:rsidDel="00000000" w:rsidR="00000000" w:rsidRPr="00000000">
        <w:rPr>
          <w:rFonts w:ascii="Cambria" w:cs="Cambria" w:eastAsia="Cambria" w:hAnsi="Cambria"/>
          <w:rtl w:val="0"/>
        </w:rPr>
        <w:t xml:space="preserve">Copies 1 and 2 are sent to the entity that will be transferring possession of the drug. The transferring entity keeps copy 1 and sends copy 2 to DEA.</w:t>
      </w:r>
    </w:p>
    <w:p w:rsidR="00000000" w:rsidDel="00000000" w:rsidP="00000000" w:rsidRDefault="00000000" w:rsidRPr="00000000" w14:paraId="00000030">
      <w:pPr>
        <w:ind w:left="0" w:firstLine="0"/>
        <w:rPr>
          <w:rFonts w:ascii="Cambria" w:cs="Cambria" w:eastAsia="Cambria" w:hAnsi="Cambria"/>
        </w:rPr>
      </w:pPr>
      <w:r w:rsidDel="00000000" w:rsidR="00000000" w:rsidRPr="00000000">
        <w:rPr>
          <w:rFonts w:ascii="Cambria" w:cs="Cambria" w:eastAsia="Cambria" w:hAnsi="Cambria"/>
          <w:rtl w:val="0"/>
        </w:rPr>
        <w:t xml:space="preserve">Disposal of controlled substances</w:t>
      </w:r>
    </w:p>
    <w:p w:rsidR="00000000" w:rsidDel="00000000" w:rsidP="00000000" w:rsidRDefault="00000000" w:rsidRPr="00000000" w14:paraId="00000031">
      <w:pPr>
        <w:numPr>
          <w:ilvl w:val="0"/>
          <w:numId w:val="1"/>
        </w:numPr>
        <w:spacing w:after="0" w:afterAutospacing="0" w:line="392.72727272727275" w:lineRule="auto"/>
        <w:ind w:left="720" w:hanging="360"/>
        <w:rPr>
          <w:rFonts w:ascii="Cambria" w:cs="Cambria" w:eastAsia="Cambria" w:hAnsi="Cambria"/>
        </w:rPr>
      </w:pPr>
      <w:r w:rsidDel="00000000" w:rsidR="00000000" w:rsidRPr="00000000">
        <w:rPr>
          <w:rFonts w:ascii="Cambria" w:cs="Cambria" w:eastAsia="Cambria" w:hAnsi="Cambria"/>
          <w:rtl w:val="0"/>
        </w:rPr>
        <w:t xml:space="preserve">A pharmacy may transfer controlled substances to a DEA registered reverse distributor who handles the disposal of controlled substances.</w:t>
      </w:r>
    </w:p>
    <w:p w:rsidR="00000000" w:rsidDel="00000000" w:rsidP="00000000" w:rsidRDefault="00000000" w:rsidRPr="00000000" w14:paraId="00000032">
      <w:pPr>
        <w:numPr>
          <w:ilvl w:val="0"/>
          <w:numId w:val="1"/>
        </w:numPr>
        <w:spacing w:after="240" w:line="392.72727272727275" w:lineRule="auto"/>
        <w:ind w:left="720" w:hanging="360"/>
        <w:rPr>
          <w:rFonts w:ascii="Cambria" w:cs="Cambria" w:eastAsia="Cambria" w:hAnsi="Cambria"/>
        </w:rPr>
      </w:pPr>
      <w:r w:rsidDel="00000000" w:rsidR="00000000" w:rsidRPr="00000000">
        <w:rPr>
          <w:rFonts w:ascii="Cambria" w:cs="Cambria" w:eastAsia="Cambria" w:hAnsi="Cambria"/>
          <w:rtl w:val="0"/>
        </w:rPr>
        <w:t xml:space="preserve">For Schedule IIs, DEA Form 222 must be used.</w:t>
      </w:r>
    </w:p>
    <w:p w:rsidR="00000000" w:rsidDel="00000000" w:rsidP="00000000" w:rsidRDefault="00000000" w:rsidRPr="00000000" w14:paraId="00000033">
      <w:pPr>
        <w:pBdr>
          <w:top w:color="auto" w:space="0" w:sz="0" w:val="none"/>
          <w:left w:color="auto" w:space="0" w:sz="0" w:val="none"/>
          <w:bottom w:color="auto" w:space="0" w:sz="0" w:val="none"/>
          <w:right w:color="auto" w:space="0" w:sz="0" w:val="none"/>
          <w:between w:color="auto" w:space="0" w:sz="0" w:val="none"/>
        </w:pBdr>
        <w:spacing w:after="280" w:lineRule="auto"/>
        <w:rPr>
          <w:rFonts w:ascii="Cambria" w:cs="Cambria" w:eastAsia="Cambria" w:hAnsi="Cambria"/>
          <w:i w:val="1"/>
        </w:rPr>
      </w:pPr>
      <w:r w:rsidDel="00000000" w:rsidR="00000000" w:rsidRPr="00000000">
        <w:rPr>
          <w:rFonts w:ascii="Cambria" w:cs="Cambria" w:eastAsia="Cambria" w:hAnsi="Cambria"/>
          <w:i w:val="1"/>
          <w:rtl w:val="0"/>
        </w:rPr>
        <w:t xml:space="preserve">Reverse Distributors Authorized to Dispose of Controlled Substances</w:t>
      </w:r>
    </w:p>
    <w:p w:rsidR="00000000" w:rsidDel="00000000" w:rsidP="00000000" w:rsidRDefault="00000000" w:rsidRPr="00000000" w14:paraId="00000034">
      <w:pPr>
        <w:numPr>
          <w:ilvl w:val="0"/>
          <w:numId w:val="9"/>
        </w:numPr>
        <w:spacing w:after="0" w:afterAutospacing="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A pharmacy may forward controlled substances to a DEA registered reverse distributor who handles the disposal of controlled substances.</w:t>
      </w:r>
    </w:p>
    <w:p w:rsidR="00000000" w:rsidDel="00000000" w:rsidP="00000000" w:rsidRDefault="00000000" w:rsidRPr="00000000" w14:paraId="00000035">
      <w:pPr>
        <w:numPr>
          <w:ilvl w:val="0"/>
          <w:numId w:val="9"/>
        </w:numPr>
        <w:spacing w:after="24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The DEA registered reverse distributor who will destroy the controlled substances is responsible for submitting a DEA Form 41 to the DEA when the controlled substances have been destroyed.</w:t>
      </w:r>
    </w:p>
    <w:p w:rsidR="00000000" w:rsidDel="00000000" w:rsidP="00000000" w:rsidRDefault="00000000" w:rsidRPr="00000000" w14:paraId="00000036">
      <w:pPr>
        <w:ind w:left="0" w:firstLine="0"/>
        <w:rPr>
          <w:rFonts w:ascii="Cambria" w:cs="Cambria" w:eastAsia="Cambria" w:hAnsi="Cambria"/>
        </w:rPr>
      </w:pPr>
      <w:r w:rsidDel="00000000" w:rsidR="00000000" w:rsidRPr="00000000">
        <w:rPr>
          <w:rFonts w:ascii="Cambria" w:cs="Cambria" w:eastAsia="Cambria" w:hAnsi="Cambria"/>
          <w:rtl w:val="0"/>
        </w:rPr>
        <w:t xml:space="preserve">Controlled Substances Theft or Loss</w:t>
      </w:r>
    </w:p>
    <w:p w:rsidR="00000000" w:rsidDel="00000000" w:rsidP="00000000" w:rsidRDefault="00000000" w:rsidRPr="00000000" w14:paraId="00000037">
      <w:pPr>
        <w:pBdr>
          <w:top w:color="auto" w:space="0" w:sz="0" w:val="none"/>
          <w:left w:color="auto" w:space="0" w:sz="0" w:val="none"/>
          <w:bottom w:color="auto" w:space="0" w:sz="0" w:val="none"/>
          <w:right w:color="auto" w:space="0" w:sz="0" w:val="none"/>
          <w:between w:color="auto" w:space="0" w:sz="0" w:val="none"/>
        </w:pBdr>
        <w:spacing w:after="280" w:lineRule="auto"/>
        <w:rPr>
          <w:rFonts w:ascii="Cambria" w:cs="Cambria" w:eastAsia="Cambria" w:hAnsi="Cambria"/>
        </w:rPr>
      </w:pPr>
      <w:r w:rsidDel="00000000" w:rsidR="00000000" w:rsidRPr="00000000">
        <w:rPr>
          <w:rFonts w:ascii="Cambria" w:cs="Cambria" w:eastAsia="Cambria" w:hAnsi="Cambria"/>
          <w:rtl w:val="0"/>
        </w:rPr>
        <w:t xml:space="preserve">Should a theft or significant loss of any controlled substance occur at a pharmacy, the following procedures must be implemented within one business day of the discovery of the theft or loss.</w:t>
      </w:r>
    </w:p>
    <w:p w:rsidR="00000000" w:rsidDel="00000000" w:rsidP="00000000" w:rsidRDefault="00000000" w:rsidRPr="00000000" w14:paraId="00000038">
      <w:pPr>
        <w:numPr>
          <w:ilvl w:val="0"/>
          <w:numId w:val="8"/>
        </w:numPr>
        <w:spacing w:after="0" w:afterAutospacing="0" w:line="392.72727272727275" w:lineRule="auto"/>
        <w:ind w:left="720" w:hanging="360"/>
        <w:rPr>
          <w:rFonts w:ascii="Cambria" w:cs="Cambria" w:eastAsia="Cambria" w:hAnsi="Cambria"/>
          <w:color w:val="000000"/>
        </w:rPr>
      </w:pPr>
      <w:r w:rsidDel="00000000" w:rsidR="00000000" w:rsidRPr="00000000">
        <w:rPr>
          <w:rFonts w:ascii="Cambria" w:cs="Cambria" w:eastAsia="Cambria" w:hAnsi="Cambria"/>
          <w:rtl w:val="0"/>
        </w:rPr>
        <w:t xml:space="preserve">Notify DEA and local police—The theft of controlled substances from a registrant is a criminal act and a source of diversion that requires notification to the DEA within one business day of discovery of theft or significant loss.</w:t>
      </w:r>
    </w:p>
    <w:p w:rsidR="00000000" w:rsidDel="00000000" w:rsidP="00000000" w:rsidRDefault="00000000" w:rsidRPr="00000000" w14:paraId="00000039">
      <w:pPr>
        <w:numPr>
          <w:ilvl w:val="0"/>
          <w:numId w:val="8"/>
        </w:numPr>
        <w:spacing w:after="0" w:afterAutospacing="0" w:line="392.72727272727275" w:lineRule="auto"/>
        <w:ind w:left="720" w:hanging="360"/>
        <w:rPr>
          <w:rFonts w:ascii="Cambria" w:cs="Cambria" w:eastAsia="Cambria" w:hAnsi="Cambria"/>
          <w:color w:val="000000"/>
        </w:rPr>
      </w:pPr>
      <w:r w:rsidDel="00000000" w:rsidR="00000000" w:rsidRPr="00000000">
        <w:rPr>
          <w:rFonts w:ascii="Cambria" w:cs="Cambria" w:eastAsia="Cambria" w:hAnsi="Cambria"/>
          <w:rtl w:val="0"/>
        </w:rPr>
        <w:t xml:space="preserve">Complete DEA Form 106.</w:t>
      </w:r>
    </w:p>
    <w:p w:rsidR="00000000" w:rsidDel="00000000" w:rsidP="00000000" w:rsidRDefault="00000000" w:rsidRPr="00000000" w14:paraId="0000003A">
      <w:pPr>
        <w:numPr>
          <w:ilvl w:val="0"/>
          <w:numId w:val="8"/>
        </w:numPr>
        <w:spacing w:after="240" w:line="392.72727272727275" w:lineRule="auto"/>
        <w:ind w:left="720" w:hanging="360"/>
        <w:rPr>
          <w:rFonts w:ascii="Cambria" w:cs="Cambria" w:eastAsia="Cambria" w:hAnsi="Cambria"/>
          <w:color w:val="000000"/>
        </w:rPr>
      </w:pPr>
      <w:r w:rsidDel="00000000" w:rsidR="00000000" w:rsidRPr="00000000">
        <w:rPr>
          <w:rFonts w:ascii="Cambria" w:cs="Cambria" w:eastAsia="Cambria" w:hAnsi="Cambria"/>
          <w:rtl w:val="0"/>
        </w:rPr>
        <w:t xml:space="preserve">If investigation finds no theft or loss—If, after the initial notification to DEA, the investigation of the theft or loss determines no such theft or loss of controlled substances occurred, a DEA Form 106 does not need to be filed. However, the registrant must notify the DEA in writing of this fact in order to resolve the initial report and explain why no DEA Form 106 was filed regarding the incident.</w:t>
      </w:r>
    </w:p>
    <w:p w:rsidR="00000000" w:rsidDel="00000000" w:rsidP="00000000" w:rsidRDefault="00000000" w:rsidRPr="00000000" w14:paraId="0000003B">
      <w:pPr>
        <w:spacing w:after="240" w:line="392.72727272727275" w:lineRule="auto"/>
        <w:ind w:left="720" w:firstLine="0"/>
        <w:rPr>
          <w:rFonts w:ascii="Cambria" w:cs="Cambria" w:eastAsia="Cambria" w:hAnsi="Cambria"/>
        </w:rPr>
      </w:pPr>
      <w:r w:rsidDel="00000000" w:rsidR="00000000" w:rsidRPr="00000000">
        <w:rPr>
          <w:rtl w:val="0"/>
        </w:rPr>
      </w:r>
    </w:p>
    <w:p w:rsidR="00000000" w:rsidDel="00000000" w:rsidP="00000000" w:rsidRDefault="00000000" w:rsidRPr="00000000" w14:paraId="0000003C">
      <w:pPr>
        <w:spacing w:after="240" w:line="392.72727272727275" w:lineRule="auto"/>
        <w:ind w:left="0" w:firstLine="0"/>
        <w:rPr>
          <w:rFonts w:ascii="Cambria" w:cs="Cambria" w:eastAsia="Cambria" w:hAnsi="Cambria"/>
        </w:rPr>
      </w:pPr>
      <w:r w:rsidDel="00000000" w:rsidR="00000000" w:rsidRPr="00000000">
        <w:rPr>
          <w:rFonts w:ascii="Cambria" w:cs="Cambria" w:eastAsia="Cambria" w:hAnsi="Cambria"/>
          <w:rtl w:val="0"/>
        </w:rPr>
        <w:t xml:space="preserve">Record Keeping Requirements</w:t>
      </w:r>
    </w:p>
    <w:p w:rsidR="00000000" w:rsidDel="00000000" w:rsidP="00000000" w:rsidRDefault="00000000" w:rsidRPr="00000000" w14:paraId="0000003D">
      <w:pPr>
        <w:numPr>
          <w:ilvl w:val="0"/>
          <w:numId w:val="38"/>
        </w:numPr>
        <w:spacing w:after="0" w:afterAutospacing="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Records and inventories of Schedule II controlled substances must be maintained separately from all other records of the registrant.</w:t>
      </w:r>
    </w:p>
    <w:p w:rsidR="00000000" w:rsidDel="00000000" w:rsidP="00000000" w:rsidRDefault="00000000" w:rsidRPr="00000000" w14:paraId="0000003E">
      <w:pPr>
        <w:numPr>
          <w:ilvl w:val="0"/>
          <w:numId w:val="38"/>
        </w:numPr>
        <w:spacing w:after="24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All records and inventories of Schedules III, IV, and V controlled substances must be maintained either separately from all other records or in such a form that the information required is “readily retrievable” from the ordinary business records.</w:t>
      </w:r>
    </w:p>
    <w:p w:rsidR="00000000" w:rsidDel="00000000" w:rsidP="00000000" w:rsidRDefault="00000000" w:rsidRPr="00000000" w14:paraId="0000003F">
      <w:pPr>
        <w:spacing w:after="240" w:line="392.72727272727275" w:lineRule="auto"/>
        <w:ind w:left="0" w:firstLine="0"/>
        <w:rPr>
          <w:rFonts w:ascii="Cambria" w:cs="Cambria" w:eastAsia="Cambria" w:hAnsi="Cambria"/>
        </w:rPr>
      </w:pPr>
      <w:r w:rsidDel="00000000" w:rsidR="00000000" w:rsidRPr="00000000">
        <w:rPr>
          <w:rFonts w:ascii="Cambria" w:cs="Cambria" w:eastAsia="Cambria" w:hAnsi="Cambria"/>
          <w:rtl w:val="0"/>
        </w:rPr>
        <w:t xml:space="preserve">Required Records</w:t>
      </w:r>
    </w:p>
    <w:p w:rsidR="00000000" w:rsidDel="00000000" w:rsidP="00000000" w:rsidRDefault="00000000" w:rsidRPr="00000000" w14:paraId="00000040">
      <w:pPr>
        <w:numPr>
          <w:ilvl w:val="0"/>
          <w:numId w:val="17"/>
        </w:numPr>
        <w:spacing w:after="0" w:afterAutospacing="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All inventory records of controlled substances, including the initial and biennial inventories, dated as of beginning or close of business.</w:t>
      </w:r>
    </w:p>
    <w:p w:rsidR="00000000" w:rsidDel="00000000" w:rsidP="00000000" w:rsidRDefault="00000000" w:rsidRPr="00000000" w14:paraId="00000041">
      <w:pPr>
        <w:numPr>
          <w:ilvl w:val="0"/>
          <w:numId w:val="17"/>
        </w:numPr>
        <w:spacing w:after="240" w:line="392.72727272727275" w:lineRule="auto"/>
        <w:ind w:left="720" w:hanging="360"/>
        <w:rPr>
          <w:rFonts w:ascii="Cambria" w:cs="Cambria" w:eastAsia="Cambria" w:hAnsi="Cambria"/>
          <w:color w:val="000000"/>
          <w:sz w:val="22"/>
          <w:szCs w:val="22"/>
        </w:rPr>
      </w:pPr>
      <w:r w:rsidDel="00000000" w:rsidR="00000000" w:rsidRPr="00000000">
        <w:rPr>
          <w:rtl w:val="0"/>
        </w:rPr>
      </w:r>
    </w:p>
    <w:p w:rsidR="00000000" w:rsidDel="00000000" w:rsidP="00000000" w:rsidRDefault="00000000" w:rsidRPr="00000000" w14:paraId="00000042">
      <w:pPr>
        <w:spacing w:after="240" w:line="392.72727272727275" w:lineRule="auto"/>
        <w:ind w:left="0" w:firstLine="0"/>
        <w:rPr>
          <w:rFonts w:ascii="Cambria" w:cs="Cambria" w:eastAsia="Cambria" w:hAnsi="Cambria"/>
        </w:rPr>
      </w:pPr>
      <w:r w:rsidDel="00000000" w:rsidR="00000000" w:rsidRPr="00000000">
        <w:rPr>
          <w:rtl w:val="0"/>
        </w:rPr>
      </w:r>
    </w:p>
    <w:p w:rsidR="00000000" w:rsidDel="00000000" w:rsidP="00000000" w:rsidRDefault="00000000" w:rsidRPr="00000000" w14:paraId="00000043">
      <w:pPr>
        <w:spacing w:after="240" w:line="392.72727272727275" w:lineRule="auto"/>
        <w:ind w:left="720" w:firstLine="0"/>
        <w:rPr>
          <w:rFonts w:ascii="Cambria" w:cs="Cambria" w:eastAsia="Cambria" w:hAnsi="Cambria"/>
        </w:rPr>
      </w:pPr>
      <w:r w:rsidDel="00000000" w:rsidR="00000000" w:rsidRPr="00000000">
        <w:rPr>
          <w:rtl w:val="0"/>
        </w:rPr>
      </w:r>
    </w:p>
    <w:p w:rsidR="00000000" w:rsidDel="00000000" w:rsidP="00000000" w:rsidRDefault="00000000" w:rsidRPr="00000000" w14:paraId="00000044">
      <w:pPr>
        <w:spacing w:after="240" w:line="392.72727272727275" w:lineRule="auto"/>
        <w:ind w:left="0" w:firstLine="0"/>
        <w:rPr>
          <w:rFonts w:ascii="Cambria" w:cs="Cambria" w:eastAsia="Cambria" w:hAnsi="Cambria"/>
        </w:rPr>
      </w:pPr>
      <w:r w:rsidDel="00000000" w:rsidR="00000000" w:rsidRPr="00000000">
        <w:rPr>
          <w:rFonts w:ascii="Cambria" w:cs="Cambria" w:eastAsia="Cambria" w:hAnsi="Cambria"/>
          <w:rtl w:val="0"/>
        </w:rPr>
        <w:t xml:space="preserve">Prescription Records</w:t>
      </w:r>
    </w:p>
    <w:p w:rsidR="00000000" w:rsidDel="00000000" w:rsidP="00000000" w:rsidRDefault="00000000" w:rsidRPr="00000000" w14:paraId="00000045">
      <w:pPr>
        <w:spacing w:after="240" w:line="392.72727272727275" w:lineRule="auto"/>
        <w:ind w:left="0" w:firstLine="0"/>
        <w:rPr>
          <w:rFonts w:ascii="Cambria" w:cs="Cambria" w:eastAsia="Cambria" w:hAnsi="Cambria"/>
        </w:rPr>
      </w:pPr>
      <w:r w:rsidDel="00000000" w:rsidR="00000000" w:rsidRPr="00000000">
        <w:rPr>
          <w:rFonts w:ascii="Cambria" w:cs="Cambria" w:eastAsia="Cambria" w:hAnsi="Cambria"/>
          <w:rtl w:val="0"/>
        </w:rPr>
        <w:t xml:space="preserve">Pharmacies have two options for filing prescription records.</w:t>
      </w:r>
    </w:p>
    <w:p w:rsidR="00000000" w:rsidDel="00000000" w:rsidP="00000000" w:rsidRDefault="00000000" w:rsidRPr="00000000" w14:paraId="00000046">
      <w:pPr>
        <w:spacing w:after="240" w:line="392.72727272727275" w:lineRule="auto"/>
        <w:ind w:left="0" w:firstLine="0"/>
        <w:rPr>
          <w:rFonts w:ascii="Cambria" w:cs="Cambria" w:eastAsia="Cambria" w:hAnsi="Cambria"/>
        </w:rPr>
      </w:pPr>
      <w:r w:rsidDel="00000000" w:rsidR="00000000" w:rsidRPr="00000000">
        <w:rPr>
          <w:rFonts w:ascii="Cambria" w:cs="Cambria" w:eastAsia="Cambria" w:hAnsi="Cambria"/>
          <w:rtl w:val="0"/>
        </w:rPr>
        <w:t xml:space="preserve">Option 1 (three separate files)</w:t>
      </w:r>
    </w:p>
    <w:p w:rsidR="00000000" w:rsidDel="00000000" w:rsidP="00000000" w:rsidRDefault="00000000" w:rsidRPr="00000000" w14:paraId="00000047">
      <w:pPr>
        <w:numPr>
          <w:ilvl w:val="0"/>
          <w:numId w:val="36"/>
        </w:numPr>
        <w:spacing w:after="0" w:afterAutospacing="0" w:line="392.72727272727275" w:lineRule="auto"/>
        <w:ind w:left="720" w:hanging="360"/>
        <w:rPr>
          <w:rFonts w:ascii="Cambria" w:cs="Cambria" w:eastAsia="Cambria" w:hAnsi="Cambria"/>
        </w:rPr>
      </w:pPr>
      <w:r w:rsidDel="00000000" w:rsidR="00000000" w:rsidRPr="00000000">
        <w:rPr>
          <w:rFonts w:ascii="Cambria" w:cs="Cambria" w:eastAsia="Cambria" w:hAnsi="Cambria"/>
          <w:rtl w:val="0"/>
        </w:rPr>
        <w:t xml:space="preserve">A file for Schedule II controlled substances dispensed.</w:t>
      </w:r>
    </w:p>
    <w:p w:rsidR="00000000" w:rsidDel="00000000" w:rsidP="00000000" w:rsidRDefault="00000000" w:rsidRPr="00000000" w14:paraId="00000048">
      <w:pPr>
        <w:numPr>
          <w:ilvl w:val="0"/>
          <w:numId w:val="36"/>
        </w:numPr>
        <w:spacing w:after="0" w:afterAutospacing="0" w:line="392.72727272727275" w:lineRule="auto"/>
        <w:ind w:left="720" w:hanging="360"/>
        <w:rPr>
          <w:rFonts w:ascii="Cambria" w:cs="Cambria" w:eastAsia="Cambria" w:hAnsi="Cambria"/>
        </w:rPr>
      </w:pPr>
      <w:r w:rsidDel="00000000" w:rsidR="00000000" w:rsidRPr="00000000">
        <w:rPr>
          <w:rFonts w:ascii="Cambria" w:cs="Cambria" w:eastAsia="Cambria" w:hAnsi="Cambria"/>
          <w:rtl w:val="0"/>
        </w:rPr>
        <w:t xml:space="preserve">A file for Schedules III, IV, and V substances dispensed.</w:t>
      </w:r>
    </w:p>
    <w:p w:rsidR="00000000" w:rsidDel="00000000" w:rsidP="00000000" w:rsidRDefault="00000000" w:rsidRPr="00000000" w14:paraId="00000049">
      <w:pPr>
        <w:numPr>
          <w:ilvl w:val="0"/>
          <w:numId w:val="36"/>
        </w:numPr>
        <w:spacing w:after="240" w:line="392.72727272727275" w:lineRule="auto"/>
        <w:ind w:left="720" w:hanging="360"/>
        <w:rPr>
          <w:rFonts w:ascii="Cambria" w:cs="Cambria" w:eastAsia="Cambria" w:hAnsi="Cambria"/>
        </w:rPr>
      </w:pPr>
      <w:r w:rsidDel="00000000" w:rsidR="00000000" w:rsidRPr="00000000">
        <w:rPr>
          <w:rFonts w:ascii="Cambria" w:cs="Cambria" w:eastAsia="Cambria" w:hAnsi="Cambria"/>
          <w:rtl w:val="0"/>
        </w:rPr>
        <w:t xml:space="preserve">A file for all noncontrolled drugs dispensed.</w:t>
      </w:r>
    </w:p>
    <w:p w:rsidR="00000000" w:rsidDel="00000000" w:rsidP="00000000" w:rsidRDefault="00000000" w:rsidRPr="00000000" w14:paraId="0000004A">
      <w:pPr>
        <w:spacing w:after="240" w:line="392.72727272727275" w:lineRule="auto"/>
        <w:ind w:left="0" w:firstLine="0"/>
        <w:rPr>
          <w:rFonts w:ascii="Cambria" w:cs="Cambria" w:eastAsia="Cambria" w:hAnsi="Cambria"/>
        </w:rPr>
      </w:pPr>
      <w:r w:rsidDel="00000000" w:rsidR="00000000" w:rsidRPr="00000000">
        <w:rPr>
          <w:rFonts w:ascii="Cambria" w:cs="Cambria" w:eastAsia="Cambria" w:hAnsi="Cambria"/>
          <w:rtl w:val="0"/>
        </w:rPr>
        <w:t xml:space="preserve">Option 2 (two separate files)</w:t>
      </w:r>
    </w:p>
    <w:p w:rsidR="00000000" w:rsidDel="00000000" w:rsidP="00000000" w:rsidRDefault="00000000" w:rsidRPr="00000000" w14:paraId="0000004B">
      <w:pPr>
        <w:numPr>
          <w:ilvl w:val="0"/>
          <w:numId w:val="37"/>
        </w:numPr>
        <w:spacing w:after="0" w:afterAutospacing="0" w:line="392.72727272727275" w:lineRule="auto"/>
        <w:ind w:left="720" w:hanging="360"/>
        <w:rPr>
          <w:rFonts w:ascii="Cambria" w:cs="Cambria" w:eastAsia="Cambria" w:hAnsi="Cambria"/>
        </w:rPr>
      </w:pPr>
      <w:r w:rsidDel="00000000" w:rsidR="00000000" w:rsidRPr="00000000">
        <w:rPr>
          <w:rFonts w:ascii="Cambria" w:cs="Cambria" w:eastAsia="Cambria" w:hAnsi="Cambria"/>
          <w:rtl w:val="0"/>
        </w:rPr>
        <w:t xml:space="preserve">A file for Schedule II controlled substances dispensed.</w:t>
      </w:r>
    </w:p>
    <w:p w:rsidR="00000000" w:rsidDel="00000000" w:rsidP="00000000" w:rsidRDefault="00000000" w:rsidRPr="00000000" w14:paraId="0000004C">
      <w:pPr>
        <w:numPr>
          <w:ilvl w:val="0"/>
          <w:numId w:val="37"/>
        </w:numPr>
        <w:spacing w:after="240" w:line="392.72727272727275" w:lineRule="auto"/>
        <w:ind w:left="720" w:hanging="360"/>
        <w:rPr>
          <w:rFonts w:ascii="Cambria" w:cs="Cambria" w:eastAsia="Cambria" w:hAnsi="Cambria"/>
        </w:rPr>
      </w:pPr>
      <w:r w:rsidDel="00000000" w:rsidR="00000000" w:rsidRPr="00000000">
        <w:rPr>
          <w:rFonts w:ascii="Cambria" w:cs="Cambria" w:eastAsia="Cambria" w:hAnsi="Cambria"/>
          <w:rtl w:val="0"/>
        </w:rPr>
        <w:t xml:space="preserve">A file for all other drugs dispensed (controlled prescriptions must be readily retrievable—see above).</w:t>
      </w:r>
    </w:p>
    <w:p w:rsidR="00000000" w:rsidDel="00000000" w:rsidP="00000000" w:rsidRDefault="00000000" w:rsidRPr="00000000" w14:paraId="0000004D">
      <w:pPr>
        <w:spacing w:after="240" w:line="392.72727272727275" w:lineRule="auto"/>
        <w:ind w:left="720" w:firstLine="0"/>
        <w:rPr>
          <w:rFonts w:ascii="Cambria" w:cs="Cambria" w:eastAsia="Cambria" w:hAnsi="Cambria"/>
        </w:rPr>
      </w:pPr>
      <w:r w:rsidDel="00000000" w:rsidR="00000000" w:rsidRPr="00000000">
        <w:rPr>
          <w:rtl w:val="0"/>
        </w:rPr>
      </w:r>
    </w:p>
    <w:p w:rsidR="00000000" w:rsidDel="00000000" w:rsidP="00000000" w:rsidRDefault="00000000" w:rsidRPr="00000000" w14:paraId="0000004E">
      <w:pPr>
        <w:spacing w:after="240" w:line="392.72727272727275" w:lineRule="auto"/>
        <w:ind w:left="0" w:firstLine="0"/>
        <w:rPr>
          <w:rFonts w:ascii="Cambria" w:cs="Cambria" w:eastAsia="Cambria" w:hAnsi="Cambria"/>
        </w:rPr>
      </w:pPr>
      <w:r w:rsidDel="00000000" w:rsidR="00000000" w:rsidRPr="00000000">
        <w:rPr>
          <w:rFonts w:ascii="Cambria" w:cs="Cambria" w:eastAsia="Cambria" w:hAnsi="Cambria"/>
          <w:rtl w:val="0"/>
        </w:rPr>
        <w:t xml:space="preserve">Electronic prescriptions </w:t>
      </w:r>
    </w:p>
    <w:p w:rsidR="00000000" w:rsidDel="00000000" w:rsidP="00000000" w:rsidRDefault="00000000" w:rsidRPr="00000000" w14:paraId="0000004F">
      <w:pPr>
        <w:numPr>
          <w:ilvl w:val="0"/>
          <w:numId w:val="2"/>
        </w:numPr>
        <w:spacing w:after="240" w:line="392.72727272727275" w:lineRule="auto"/>
        <w:ind w:left="720" w:hanging="360"/>
        <w:rPr>
          <w:rFonts w:ascii="Cambria" w:cs="Cambria" w:eastAsia="Cambria" w:hAnsi="Cambria"/>
        </w:rPr>
      </w:pPr>
      <w:r w:rsidDel="00000000" w:rsidR="00000000" w:rsidRPr="00000000">
        <w:rPr>
          <w:rFonts w:ascii="Cambria" w:cs="Cambria" w:eastAsia="Cambria" w:hAnsi="Cambria"/>
          <w:rtl w:val="0"/>
        </w:rPr>
        <w:t xml:space="preserve">If a prescription is created, signed, transmitted, and received electronically, all records related to that prescription must be retained electronically.</w:t>
      </w:r>
    </w:p>
    <w:p w:rsidR="00000000" w:rsidDel="00000000" w:rsidP="00000000" w:rsidRDefault="00000000" w:rsidRPr="00000000" w14:paraId="00000050">
      <w:pPr>
        <w:spacing w:after="240" w:line="392.72727272727275" w:lineRule="auto"/>
        <w:ind w:left="0" w:firstLine="0"/>
        <w:rPr>
          <w:rFonts w:ascii="Cambria" w:cs="Cambria" w:eastAsia="Cambria" w:hAnsi="Cambria"/>
        </w:rPr>
      </w:pPr>
      <w:r w:rsidDel="00000000" w:rsidR="00000000" w:rsidRPr="00000000">
        <w:rPr>
          <w:rFonts w:ascii="Cambria" w:cs="Cambria" w:eastAsia="Cambria" w:hAnsi="Cambria"/>
          <w:rtl w:val="0"/>
        </w:rPr>
        <w:t xml:space="preserve">Inventory requirements</w:t>
      </w:r>
    </w:p>
    <w:p w:rsidR="00000000" w:rsidDel="00000000" w:rsidP="00000000" w:rsidRDefault="00000000" w:rsidRPr="00000000" w14:paraId="00000051">
      <w:pPr>
        <w:numPr>
          <w:ilvl w:val="0"/>
          <w:numId w:val="25"/>
        </w:numPr>
        <w:spacing w:after="0" w:afterAutospacing="0" w:line="392.72727272727275" w:lineRule="auto"/>
        <w:ind w:left="720" w:hanging="360"/>
        <w:rPr>
          <w:rFonts w:ascii="Cambria" w:cs="Cambria" w:eastAsia="Cambria" w:hAnsi="Cambria"/>
        </w:rPr>
      </w:pPr>
      <w:r w:rsidDel="00000000" w:rsidR="00000000" w:rsidRPr="00000000">
        <w:rPr>
          <w:rFonts w:ascii="Cambria" w:cs="Cambria" w:eastAsia="Cambria" w:hAnsi="Cambria"/>
          <w:rtl w:val="0"/>
        </w:rPr>
        <w:t xml:space="preserve">An “inventory” is a complete and accurate list of all stocks and forms of controlled substances in the possession of the registrant as determined by an actual physical count for Schedule II controlled substances and an estimated count or measure of the contents of a Schedule III, IV, or V controlled substance</w:t>
      </w:r>
    </w:p>
    <w:p w:rsidR="00000000" w:rsidDel="00000000" w:rsidP="00000000" w:rsidRDefault="00000000" w:rsidRPr="00000000" w14:paraId="00000052">
      <w:pPr>
        <w:numPr>
          <w:ilvl w:val="1"/>
          <w:numId w:val="25"/>
        </w:numPr>
        <w:spacing w:after="0" w:afterAutospacing="0" w:line="392.72727272727275" w:lineRule="auto"/>
        <w:ind w:left="1440" w:hanging="360"/>
        <w:rPr>
          <w:rFonts w:ascii="Cambria" w:cs="Cambria" w:eastAsia="Cambria" w:hAnsi="Cambria"/>
        </w:rPr>
      </w:pPr>
      <w:r w:rsidDel="00000000" w:rsidR="00000000" w:rsidRPr="00000000">
        <w:rPr>
          <w:rFonts w:ascii="Cambria" w:cs="Cambria" w:eastAsia="Cambria" w:hAnsi="Cambria"/>
          <w:rtl w:val="0"/>
        </w:rPr>
        <w:t xml:space="preserve">Initial inventory</w:t>
      </w:r>
    </w:p>
    <w:p w:rsidR="00000000" w:rsidDel="00000000" w:rsidP="00000000" w:rsidRDefault="00000000" w:rsidRPr="00000000" w14:paraId="00000053">
      <w:pPr>
        <w:numPr>
          <w:ilvl w:val="1"/>
          <w:numId w:val="25"/>
        </w:numPr>
        <w:spacing w:after="240" w:line="392.72727272727275" w:lineRule="auto"/>
        <w:ind w:left="1440" w:hanging="360"/>
        <w:rPr>
          <w:rFonts w:ascii="Cambria" w:cs="Cambria" w:eastAsia="Cambria" w:hAnsi="Cambria"/>
        </w:rPr>
      </w:pPr>
      <w:r w:rsidDel="00000000" w:rsidR="00000000" w:rsidRPr="00000000">
        <w:rPr>
          <w:rFonts w:ascii="Cambria" w:cs="Cambria" w:eastAsia="Cambria" w:hAnsi="Cambria"/>
          <w:rtl w:val="0"/>
        </w:rPr>
        <w:t xml:space="preserve">Biennial inventory </w:t>
      </w:r>
    </w:p>
    <w:p w:rsidR="00000000" w:rsidDel="00000000" w:rsidP="00000000" w:rsidRDefault="00000000" w:rsidRPr="00000000" w14:paraId="00000054">
      <w:pPr>
        <w:pBdr>
          <w:top w:color="auto" w:space="0" w:sz="0" w:val="none"/>
          <w:left w:color="auto" w:space="0" w:sz="0" w:val="none"/>
          <w:bottom w:color="auto" w:space="0" w:sz="0" w:val="none"/>
          <w:right w:color="auto" w:space="0" w:sz="0" w:val="none"/>
          <w:between w:color="auto" w:space="0" w:sz="0" w:val="none"/>
        </w:pBdr>
        <w:spacing w:after="280" w:line="392.72727272727275" w:lineRule="auto"/>
        <w:ind w:left="0" w:firstLine="0"/>
        <w:rPr>
          <w:rFonts w:ascii="Cambria" w:cs="Cambria" w:eastAsia="Cambria" w:hAnsi="Cambria"/>
          <w:i w:val="1"/>
        </w:rPr>
      </w:pPr>
      <w:r w:rsidDel="00000000" w:rsidR="00000000" w:rsidRPr="00000000">
        <w:rPr>
          <w:rFonts w:ascii="Cambria" w:cs="Cambria" w:eastAsia="Cambria" w:hAnsi="Cambria"/>
          <w:i w:val="1"/>
          <w:rtl w:val="0"/>
        </w:rPr>
        <w:t xml:space="preserve">Newly Scheduled Controlled Substance Inventory</w:t>
      </w:r>
    </w:p>
    <w:p w:rsidR="00000000" w:rsidDel="00000000" w:rsidP="00000000" w:rsidRDefault="00000000" w:rsidRPr="00000000" w14:paraId="00000055">
      <w:pPr>
        <w:numPr>
          <w:ilvl w:val="0"/>
          <w:numId w:val="25"/>
        </w:numPr>
        <w:pBdr>
          <w:top w:color="auto" w:space="0" w:sz="0" w:val="none"/>
          <w:left w:color="auto" w:space="0" w:sz="0" w:val="none"/>
          <w:bottom w:color="auto" w:space="0" w:sz="0" w:val="none"/>
          <w:right w:color="auto" w:space="0" w:sz="0" w:val="none"/>
          <w:between w:color="auto" w:space="0" w:sz="0" w:val="none"/>
        </w:pBdr>
        <w:spacing w:after="280" w:line="392.72727272727275" w:lineRule="auto"/>
        <w:ind w:left="720" w:hanging="360"/>
        <w:rPr>
          <w:rFonts w:ascii="Cambria" w:cs="Cambria" w:eastAsia="Cambria" w:hAnsi="Cambria"/>
        </w:rPr>
      </w:pPr>
      <w:r w:rsidDel="00000000" w:rsidR="00000000" w:rsidRPr="00000000">
        <w:rPr>
          <w:rFonts w:ascii="Cambria" w:cs="Cambria" w:eastAsia="Cambria" w:hAnsi="Cambria"/>
          <w:rtl w:val="0"/>
        </w:rPr>
        <w:t xml:space="preserve">When a drug not previously listed as a controlled substance is scheduled or a drug is rescheduled, the drug must be inventoried as of the effective date of scheduling or change in scheduling</w:t>
      </w:r>
    </w:p>
    <w:p w:rsidR="00000000" w:rsidDel="00000000" w:rsidP="00000000" w:rsidRDefault="00000000" w:rsidRPr="00000000" w14:paraId="00000056">
      <w:pPr>
        <w:pBdr>
          <w:top w:color="auto" w:space="0" w:sz="0" w:val="none"/>
          <w:left w:color="auto" w:space="0" w:sz="0" w:val="none"/>
          <w:bottom w:color="auto" w:space="0" w:sz="0" w:val="none"/>
          <w:right w:color="auto" w:space="0" w:sz="0" w:val="none"/>
          <w:between w:color="auto" w:space="0" w:sz="0" w:val="none"/>
        </w:pBdr>
        <w:spacing w:after="280" w:line="392.72727272727275" w:lineRule="auto"/>
        <w:ind w:left="0" w:firstLine="0"/>
        <w:rPr>
          <w:rFonts w:ascii="Cambria" w:cs="Cambria" w:eastAsia="Cambria" w:hAnsi="Cambria"/>
        </w:rPr>
      </w:pPr>
      <w:r w:rsidDel="00000000" w:rsidR="00000000" w:rsidRPr="00000000">
        <w:rPr>
          <w:rFonts w:ascii="Cambria" w:cs="Cambria" w:eastAsia="Cambria" w:hAnsi="Cambria"/>
          <w:rtl w:val="0"/>
        </w:rPr>
        <w:t xml:space="preserve">Ordering schedule II</w:t>
        <w:br w:type="textWrapping"/>
        <w:t xml:space="preserve">- Only Schedule I and II controlled substances are ordered with an official DEA 222 order Form. A DEA Form 222 is required for each distribution, purchase, or transfer of a Schedule II controlled substance.</w:t>
      </w:r>
    </w:p>
    <w:p w:rsidR="00000000" w:rsidDel="00000000" w:rsidP="00000000" w:rsidRDefault="00000000" w:rsidRPr="00000000" w14:paraId="00000057">
      <w:pPr>
        <w:pBdr>
          <w:top w:color="auto" w:space="0" w:sz="0" w:val="none"/>
          <w:left w:color="auto" w:space="0" w:sz="0" w:val="none"/>
          <w:bottom w:color="auto" w:space="0" w:sz="0" w:val="none"/>
          <w:right w:color="auto" w:space="0" w:sz="0" w:val="none"/>
          <w:between w:color="auto" w:space="0" w:sz="0" w:val="none"/>
        </w:pBdr>
        <w:spacing w:after="280" w:line="392.72727272727275" w:lineRule="auto"/>
        <w:ind w:left="0" w:firstLine="0"/>
        <w:rPr>
          <w:rFonts w:ascii="Cambria" w:cs="Cambria" w:eastAsia="Cambria" w:hAnsi="Cambria"/>
        </w:rPr>
      </w:pPr>
      <w:r w:rsidDel="00000000" w:rsidR="00000000" w:rsidRPr="00000000">
        <w:rPr>
          <w:rFonts w:ascii="Cambria" w:cs="Cambria" w:eastAsia="Cambria" w:hAnsi="Cambria"/>
          <w:rtl w:val="0"/>
        </w:rPr>
        <w:t xml:space="preserve">Completing DEA Forms</w:t>
      </w:r>
    </w:p>
    <w:p w:rsidR="00000000" w:rsidDel="00000000" w:rsidP="00000000" w:rsidRDefault="00000000" w:rsidRPr="00000000" w14:paraId="00000058">
      <w:pPr>
        <w:numPr>
          <w:ilvl w:val="0"/>
          <w:numId w:val="7"/>
        </w:numPr>
        <w:pBdr>
          <w:top w:color="auto" w:space="0" w:sz="0" w:val="none"/>
          <w:left w:color="auto" w:space="0" w:sz="0" w:val="none"/>
          <w:bottom w:color="auto" w:space="0" w:sz="0" w:val="none"/>
          <w:right w:color="auto" w:space="0" w:sz="0" w:val="none"/>
          <w:between w:color="auto" w:space="0" w:sz="0" w:val="none"/>
        </w:pBdr>
        <w:spacing w:after="280" w:line="392.72727272727275" w:lineRule="auto"/>
        <w:ind w:left="720" w:hanging="360"/>
        <w:rPr>
          <w:rFonts w:ascii="Cambria" w:cs="Cambria" w:eastAsia="Cambria" w:hAnsi="Cambria"/>
        </w:rPr>
      </w:pPr>
      <w:r w:rsidDel="00000000" w:rsidR="00000000" w:rsidRPr="00000000">
        <w:rPr>
          <w:rFonts w:ascii="Cambria" w:cs="Cambria" w:eastAsia="Cambria" w:hAnsi="Cambria"/>
          <w:rtl w:val="0"/>
        </w:rPr>
        <w:t xml:space="preserve">When ordering Schedule II controlled substances, the purchaser is responsible for filling in the number of packages, the size of the package, and the name of the item. Each DEA Form 222 must be signed and dated by a person authorized to sign a registration application or a person granted power of attorney. When the items are received, the pharmacist or his designee must document on the purchaser’s copy (copy three) the actual number of packages received and the date received. The executed DEA Form 222 must be maintained separately from the pharmacy’s other business records</w:t>
      </w:r>
    </w:p>
    <w:p w:rsidR="00000000" w:rsidDel="00000000" w:rsidP="00000000" w:rsidRDefault="00000000" w:rsidRPr="00000000" w14:paraId="00000059">
      <w:pPr>
        <w:pBdr>
          <w:top w:color="auto" w:space="0" w:sz="0" w:val="none"/>
          <w:left w:color="auto" w:space="0" w:sz="0" w:val="none"/>
          <w:bottom w:color="auto" w:space="0" w:sz="0" w:val="none"/>
          <w:right w:color="auto" w:space="0" w:sz="0" w:val="none"/>
          <w:between w:color="auto" w:space="0" w:sz="0" w:val="none"/>
        </w:pBdr>
        <w:spacing w:after="280" w:line="392.72727272727275" w:lineRule="auto"/>
        <w:rPr>
          <w:rFonts w:ascii="Cambria" w:cs="Cambria" w:eastAsia="Cambria" w:hAnsi="Cambria"/>
          <w:i w:val="1"/>
        </w:rPr>
      </w:pPr>
      <w:r w:rsidDel="00000000" w:rsidR="00000000" w:rsidRPr="00000000">
        <w:rPr>
          <w:rFonts w:ascii="Cambria" w:cs="Cambria" w:eastAsia="Cambria" w:hAnsi="Cambria"/>
          <w:i w:val="1"/>
          <w:rtl w:val="0"/>
        </w:rPr>
        <w:t xml:space="preserve">Power of Attorney to Sign an Official Order Form</w:t>
      </w:r>
    </w:p>
    <w:p w:rsidR="00000000" w:rsidDel="00000000" w:rsidP="00000000" w:rsidRDefault="00000000" w:rsidRPr="00000000" w14:paraId="0000005A">
      <w:pPr>
        <w:pBdr>
          <w:top w:color="auto" w:space="0" w:sz="0" w:val="none"/>
          <w:left w:color="auto" w:space="0" w:sz="0" w:val="none"/>
          <w:bottom w:color="auto" w:space="0" w:sz="0" w:val="none"/>
          <w:right w:color="auto" w:space="0" w:sz="0" w:val="none"/>
          <w:between w:color="auto" w:space="0" w:sz="0" w:val="none"/>
        </w:pBdr>
        <w:spacing w:after="280" w:line="392.72727272727275" w:lineRule="auto"/>
        <w:rPr>
          <w:rFonts w:ascii="Cambria" w:cs="Cambria" w:eastAsia="Cambria" w:hAnsi="Cambria"/>
        </w:rPr>
      </w:pPr>
      <w:r w:rsidDel="00000000" w:rsidR="00000000" w:rsidRPr="00000000">
        <w:rPr>
          <w:rFonts w:ascii="Cambria" w:cs="Cambria" w:eastAsia="Cambria" w:hAnsi="Cambria"/>
          <w:rtl w:val="0"/>
        </w:rPr>
        <w:t xml:space="preserve">Any registrant (pharmacy) may authorize one or more individuals, whether or not they are located at the registered location, to obtain and execute DEA Forms 222 by granting a power of attorney to each such individual.</w:t>
      </w:r>
    </w:p>
    <w:p w:rsidR="00000000" w:rsidDel="00000000" w:rsidP="00000000" w:rsidRDefault="00000000" w:rsidRPr="00000000" w14:paraId="0000005B">
      <w:pPr>
        <w:pBdr>
          <w:top w:color="auto" w:space="0" w:sz="0" w:val="none"/>
          <w:left w:color="auto" w:space="0" w:sz="0" w:val="none"/>
          <w:bottom w:color="auto" w:space="0" w:sz="0" w:val="none"/>
          <w:right w:color="auto" w:space="0" w:sz="0" w:val="none"/>
          <w:between w:color="auto" w:space="0" w:sz="0" w:val="none"/>
        </w:pBdr>
        <w:spacing w:after="280" w:line="392.72727272727275" w:lineRule="auto"/>
        <w:rPr>
          <w:rFonts w:ascii="Cambria" w:cs="Cambria" w:eastAsia="Cambria" w:hAnsi="Cambria"/>
        </w:rPr>
      </w:pPr>
      <w:r w:rsidDel="00000000" w:rsidR="00000000" w:rsidRPr="00000000">
        <w:rPr>
          <w:rtl w:val="0"/>
        </w:rPr>
      </w:r>
    </w:p>
    <w:p w:rsidR="00000000" w:rsidDel="00000000" w:rsidP="00000000" w:rsidRDefault="00000000" w:rsidRPr="00000000" w14:paraId="0000005C">
      <w:pPr>
        <w:numPr>
          <w:ilvl w:val="0"/>
          <w:numId w:val="27"/>
        </w:numPr>
        <w:pBdr>
          <w:top w:color="auto" w:space="0" w:sz="0" w:val="none"/>
          <w:left w:color="auto" w:space="0" w:sz="0" w:val="none"/>
          <w:bottom w:color="auto" w:space="0" w:sz="0" w:val="none"/>
          <w:right w:color="auto" w:space="0" w:sz="0" w:val="none"/>
          <w:between w:color="auto" w:space="0" w:sz="0" w:val="none"/>
        </w:pBdr>
        <w:spacing w:after="0" w:afterAutospacing="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i w:val="1"/>
          <w:rtl w:val="0"/>
        </w:rPr>
        <w:t xml:space="preserve">Lost or Stolen Order Forms</w:t>
        <w:br w:type="textWrapping"/>
      </w:r>
      <w:r w:rsidDel="00000000" w:rsidR="00000000" w:rsidRPr="00000000">
        <w:rPr>
          <w:rFonts w:ascii="Cambria" w:cs="Cambria" w:eastAsia="Cambria" w:hAnsi="Cambria"/>
          <w:rtl w:val="0"/>
        </w:rPr>
        <w:t xml:space="preserve">If the original order form has been lost or stolen, the pharmacist must complete a second order form so the supplier can fill the original order.</w:t>
        <w:br w:type="textWrapping"/>
        <w:t xml:space="preserve"> The pharmacist must also prepare a statement, which includes the first order form’s serial number and date, and verify that the drugs ordered were never received. A pharmacy, upon discovery of the loss or theft of used or unused order forms, must immediately report the loss to the local DEA Diversion Field Office and provide the serial numbers of each lost or stolen order form.</w:t>
      </w:r>
    </w:p>
    <w:p w:rsidR="00000000" w:rsidDel="00000000" w:rsidP="00000000" w:rsidRDefault="00000000" w:rsidRPr="00000000" w14:paraId="0000005D">
      <w:pPr>
        <w:numPr>
          <w:ilvl w:val="0"/>
          <w:numId w:val="27"/>
        </w:numPr>
        <w:pBdr>
          <w:top w:color="auto" w:space="0" w:sz="0" w:val="none"/>
          <w:left w:color="auto" w:space="0" w:sz="0" w:val="none"/>
          <w:bottom w:color="auto" w:space="0" w:sz="0" w:val="none"/>
          <w:right w:color="auto" w:space="0" w:sz="0" w:val="none"/>
          <w:between w:color="auto" w:space="0" w:sz="0" w:val="none"/>
        </w:pBdr>
        <w:spacing w:after="0" w:afterAutospacing="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i w:val="1"/>
          <w:rtl w:val="0"/>
        </w:rPr>
        <w:t xml:space="preserve">Controlled Substance Ordering System (CSOS)—Electronic Order Forms</w:t>
        <w:br w:type="textWrapping"/>
      </w:r>
      <w:r w:rsidDel="00000000" w:rsidR="00000000" w:rsidRPr="00000000">
        <w:rPr>
          <w:rFonts w:ascii="Cambria" w:cs="Cambria" w:eastAsia="Cambria" w:hAnsi="Cambria"/>
          <w:rtl w:val="0"/>
        </w:rPr>
        <w:t xml:space="preserve">Any registrant permitted to order Schedule II controlled substances may do so electronically via the DEA Controlled Substance Ordering System (CSOS) and maintain the records of these orders electronically for two years.</w:t>
      </w:r>
    </w:p>
    <w:p w:rsidR="00000000" w:rsidDel="00000000" w:rsidP="00000000" w:rsidRDefault="00000000" w:rsidRPr="00000000" w14:paraId="0000005E">
      <w:pPr>
        <w:numPr>
          <w:ilvl w:val="0"/>
          <w:numId w:val="27"/>
        </w:numPr>
        <w:pBdr>
          <w:top w:color="auto" w:space="0" w:sz="0" w:val="none"/>
          <w:left w:color="auto" w:space="0" w:sz="0" w:val="none"/>
          <w:bottom w:color="auto" w:space="0" w:sz="0" w:val="none"/>
          <w:right w:color="auto" w:space="0" w:sz="0" w:val="none"/>
          <w:between w:color="auto" w:space="0" w:sz="0" w:val="none"/>
        </w:pBdr>
        <w:spacing w:after="24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i w:val="1"/>
          <w:rtl w:val="0"/>
        </w:rPr>
        <w:t xml:space="preserve">Ordering Schedules III-V Controlled Substances</w:t>
        <w:br w:type="textWrapping"/>
      </w:r>
      <w:r w:rsidDel="00000000" w:rsidR="00000000" w:rsidRPr="00000000">
        <w:rPr>
          <w:rFonts w:ascii="Cambria" w:cs="Cambria" w:eastAsia="Cambria" w:hAnsi="Cambria"/>
          <w:rtl w:val="0"/>
        </w:rPr>
        <w:t xml:space="preserve">The registrant must keep a receipt (invoice or packing slip) on which it records the date the drugs were received and confirms that the order is accurate. These receipts must also contain the name of each controlled substance, the finished form, the number of dosage units of finished form in each commercial container, and the number of commercial containers ordered and received.</w:t>
      </w:r>
    </w:p>
    <w:p w:rsidR="00000000" w:rsidDel="00000000" w:rsidP="00000000" w:rsidRDefault="00000000" w:rsidRPr="00000000" w14:paraId="0000005F">
      <w:pPr>
        <w:pBdr>
          <w:top w:color="auto" w:space="0" w:sz="0" w:val="none"/>
          <w:left w:color="auto" w:space="0" w:sz="0" w:val="none"/>
          <w:bottom w:color="auto" w:space="0" w:sz="0" w:val="none"/>
          <w:right w:color="auto" w:space="0" w:sz="0" w:val="none"/>
          <w:between w:color="auto" w:space="0" w:sz="0" w:val="none"/>
        </w:pBdr>
        <w:spacing w:after="280" w:line="392.72727272727275" w:lineRule="auto"/>
        <w:ind w:left="0" w:firstLine="0"/>
        <w:rPr>
          <w:rFonts w:ascii="Cambria" w:cs="Cambria" w:eastAsia="Cambria" w:hAnsi="Cambria"/>
        </w:rPr>
      </w:pPr>
      <w:r w:rsidDel="00000000" w:rsidR="00000000" w:rsidRPr="00000000">
        <w:rPr>
          <w:rFonts w:ascii="Cambria" w:cs="Cambria" w:eastAsia="Cambria" w:hAnsi="Cambria"/>
          <w:rtl w:val="0"/>
        </w:rPr>
        <w:t xml:space="preserve">VIII. Valid Prescription Requirements</w:t>
      </w:r>
    </w:p>
    <w:p w:rsidR="00000000" w:rsidDel="00000000" w:rsidP="00000000" w:rsidRDefault="00000000" w:rsidRPr="00000000" w14:paraId="00000060">
      <w:pPr>
        <w:pBdr>
          <w:top w:color="auto" w:space="0" w:sz="0" w:val="none"/>
          <w:left w:color="auto" w:space="0" w:sz="0" w:val="none"/>
          <w:bottom w:color="auto" w:space="0" w:sz="0" w:val="none"/>
          <w:right w:color="auto" w:space="0" w:sz="0" w:val="none"/>
          <w:between w:color="auto" w:space="0" w:sz="0" w:val="none"/>
        </w:pBdr>
        <w:spacing w:after="280" w:line="392.72727272727275" w:lineRule="auto"/>
        <w:ind w:left="0" w:firstLine="0"/>
        <w:rPr>
          <w:rFonts w:ascii="Cambria" w:cs="Cambria" w:eastAsia="Cambria" w:hAnsi="Cambria"/>
        </w:rPr>
      </w:pPr>
      <w:r w:rsidDel="00000000" w:rsidR="00000000" w:rsidRPr="00000000">
        <w:rPr>
          <w:rFonts w:ascii="Cambria" w:cs="Cambria" w:eastAsia="Cambria" w:hAnsi="Cambria"/>
          <w:rtl w:val="0"/>
        </w:rPr>
        <w:t xml:space="preserve">A prescription for a controlled substance must be dated and signed on the date when issued.</w:t>
      </w:r>
      <w:hyperlink r:id="rId7">
        <w:r w:rsidDel="00000000" w:rsidR="00000000" w:rsidRPr="00000000">
          <w:rPr>
            <w:rFonts w:ascii="Cambria" w:cs="Cambria" w:eastAsia="Cambria" w:hAnsi="Cambria"/>
            <w:rtl w:val="0"/>
          </w:rPr>
          <w:t xml:space="preserve">10</w:t>
        </w:r>
      </w:hyperlink>
      <w:r w:rsidDel="00000000" w:rsidR="00000000" w:rsidRPr="00000000">
        <w:rPr>
          <w:rFonts w:ascii="Cambria" w:cs="Cambria" w:eastAsia="Cambria" w:hAnsi="Cambria"/>
          <w:rtl w:val="0"/>
        </w:rPr>
        <w:t xml:space="preserve"> The prescription must include the patient’s full name and address, and the practitioner’s full name, address, and DEA registration number. The prescription must also include: (1) drug name; (2) strength; (3) dosage form; (4) quantity prescribed; (5) directions for use; (6) number of refills authorized. A prescription must be written in ink or indelible pencil or typewritten and must be manually signed by the practitioner on the date when issued.</w:t>
      </w:r>
    </w:p>
    <w:p w:rsidR="00000000" w:rsidDel="00000000" w:rsidP="00000000" w:rsidRDefault="00000000" w:rsidRPr="00000000" w14:paraId="00000061">
      <w:pPr>
        <w:pBdr>
          <w:top w:color="auto" w:space="0" w:sz="0" w:val="none"/>
          <w:left w:color="auto" w:space="0" w:sz="0" w:val="none"/>
          <w:bottom w:color="auto" w:space="0" w:sz="0" w:val="none"/>
          <w:right w:color="auto" w:space="0" w:sz="0" w:val="none"/>
          <w:between w:color="auto" w:space="0" w:sz="0" w:val="none"/>
        </w:pBdr>
        <w:spacing w:after="280" w:line="392.72727272727275" w:lineRule="auto"/>
        <w:rPr>
          <w:rFonts w:ascii="Cambria" w:cs="Cambria" w:eastAsia="Cambria" w:hAnsi="Cambria"/>
          <w:i w:val="1"/>
        </w:rPr>
      </w:pPr>
      <w:r w:rsidDel="00000000" w:rsidR="00000000" w:rsidRPr="00000000">
        <w:rPr>
          <w:rFonts w:ascii="Cambria" w:cs="Cambria" w:eastAsia="Cambria" w:hAnsi="Cambria"/>
          <w:i w:val="1"/>
          <w:rtl w:val="0"/>
        </w:rPr>
        <w:t xml:space="preserve">Corresponding Responsibility</w:t>
      </w:r>
    </w:p>
    <w:p w:rsidR="00000000" w:rsidDel="00000000" w:rsidP="00000000" w:rsidRDefault="00000000" w:rsidRPr="00000000" w14:paraId="00000062">
      <w:pPr>
        <w:pBdr>
          <w:top w:color="auto" w:space="0" w:sz="0" w:val="none"/>
          <w:left w:color="auto" w:space="0" w:sz="0" w:val="none"/>
          <w:bottom w:color="auto" w:space="0" w:sz="0" w:val="none"/>
          <w:right w:color="auto" w:space="0" w:sz="0" w:val="none"/>
          <w:between w:color="auto" w:space="0" w:sz="0" w:val="none"/>
        </w:pBdr>
        <w:spacing w:after="280" w:line="392.72727272727275" w:lineRule="auto"/>
        <w:rPr>
          <w:rFonts w:ascii="Cambria" w:cs="Cambria" w:eastAsia="Cambria" w:hAnsi="Cambria"/>
        </w:rPr>
      </w:pPr>
      <w:r w:rsidDel="00000000" w:rsidR="00000000" w:rsidRPr="00000000">
        <w:rPr>
          <w:rFonts w:ascii="Cambria" w:cs="Cambria" w:eastAsia="Cambria" w:hAnsi="Cambria"/>
          <w:rtl w:val="0"/>
        </w:rPr>
        <w:t xml:space="preserve">A pharmacist also needs to know there is a corresponding responsibility for the pharmacist who fills the prescription. An order purporting to be a prescription issued not in the usual course of professional treatment or in legitimate and authorized research is an invalid prescription within the meaning and intent of the CSA.</w:t>
      </w:r>
      <w:hyperlink r:id="rId8">
        <w:r w:rsidDel="00000000" w:rsidR="00000000" w:rsidRPr="00000000">
          <w:rPr>
            <w:rFonts w:ascii="Cambria" w:cs="Cambria" w:eastAsia="Cambria" w:hAnsi="Cambria"/>
            <w:rtl w:val="0"/>
          </w:rPr>
          <w:t xml:space="preserve">11</w:t>
        </w:r>
      </w:hyperlink>
      <w:r w:rsidDel="00000000" w:rsidR="00000000" w:rsidRPr="00000000">
        <w:rPr>
          <w:rFonts w:ascii="Cambria" w:cs="Cambria" w:eastAsia="Cambria" w:hAnsi="Cambria"/>
          <w:rtl w:val="0"/>
        </w:rPr>
        <w:t xml:space="preserve"> A pharmacist is required to exercise sound professional judgment when making a determination about the legitimacy of a controlled substance prescription.</w:t>
      </w:r>
    </w:p>
    <w:p w:rsidR="00000000" w:rsidDel="00000000" w:rsidP="00000000" w:rsidRDefault="00000000" w:rsidRPr="00000000" w14:paraId="00000063">
      <w:pPr>
        <w:pBdr>
          <w:top w:color="auto" w:space="0" w:sz="0" w:val="none"/>
          <w:left w:color="auto" w:space="0" w:sz="0" w:val="none"/>
          <w:bottom w:color="auto" w:space="0" w:sz="0" w:val="none"/>
          <w:right w:color="auto" w:space="0" w:sz="0" w:val="none"/>
          <w:between w:color="auto" w:space="0" w:sz="0" w:val="none"/>
        </w:pBdr>
        <w:spacing w:after="280" w:line="392.72727272727275" w:lineRule="auto"/>
        <w:ind w:left="0" w:firstLine="0"/>
        <w:rPr>
          <w:rFonts w:ascii="Cambria" w:cs="Cambria" w:eastAsia="Cambria" w:hAnsi="Cambria"/>
        </w:rPr>
      </w:pPr>
      <w:r w:rsidDel="00000000" w:rsidR="00000000" w:rsidRPr="00000000">
        <w:rPr>
          <w:rFonts w:ascii="Cambria" w:cs="Cambria" w:eastAsia="Cambria" w:hAnsi="Cambria"/>
          <w:rtl w:val="0"/>
        </w:rPr>
        <w:t xml:space="preserve">Electronic Prescriptions</w:t>
      </w:r>
    </w:p>
    <w:p w:rsidR="00000000" w:rsidDel="00000000" w:rsidP="00000000" w:rsidRDefault="00000000" w:rsidRPr="00000000" w14:paraId="00000064">
      <w:pPr>
        <w:pBdr>
          <w:top w:color="auto" w:space="0" w:sz="0" w:val="none"/>
          <w:left w:color="auto" w:space="0" w:sz="0" w:val="none"/>
          <w:bottom w:color="auto" w:space="0" w:sz="0" w:val="none"/>
          <w:right w:color="auto" w:space="0" w:sz="0" w:val="none"/>
          <w:between w:color="auto" w:space="0" w:sz="0" w:val="none"/>
        </w:pBdr>
        <w:spacing w:after="280" w:line="392.72727272727275" w:lineRule="auto"/>
        <w:rPr>
          <w:rFonts w:ascii="Cambria" w:cs="Cambria" w:eastAsia="Cambria" w:hAnsi="Cambria"/>
        </w:rPr>
      </w:pPr>
      <w:r w:rsidDel="00000000" w:rsidR="00000000" w:rsidRPr="00000000">
        <w:rPr>
          <w:rFonts w:ascii="Cambria" w:cs="Cambria" w:eastAsia="Cambria" w:hAnsi="Cambria"/>
          <w:rtl w:val="0"/>
        </w:rPr>
        <w:t xml:space="preserve">A registered pharmacy may process electronic prescriptions for controlled substances only if the following conditions are met:</w:t>
      </w:r>
    </w:p>
    <w:p w:rsidR="00000000" w:rsidDel="00000000" w:rsidP="00000000" w:rsidRDefault="00000000" w:rsidRPr="00000000" w14:paraId="00000065">
      <w:pPr>
        <w:numPr>
          <w:ilvl w:val="0"/>
          <w:numId w:val="3"/>
        </w:numPr>
        <w:pBdr>
          <w:top w:color="auto" w:space="0" w:sz="0" w:val="none"/>
          <w:left w:color="auto" w:space="0" w:sz="0" w:val="none"/>
          <w:bottom w:color="auto" w:space="0" w:sz="0" w:val="none"/>
          <w:right w:color="auto" w:space="0" w:sz="0" w:val="none"/>
          <w:between w:color="auto" w:space="0" w:sz="0" w:val="none"/>
        </w:pBdr>
        <w:spacing w:after="0" w:afterAutospacing="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The pharmacy uses a pharmacy application that meets all the applicable requirements of 21 C.F.R. §1311, and</w:t>
      </w:r>
    </w:p>
    <w:p w:rsidR="00000000" w:rsidDel="00000000" w:rsidP="00000000" w:rsidRDefault="00000000" w:rsidRPr="00000000" w14:paraId="00000066">
      <w:pPr>
        <w:numPr>
          <w:ilvl w:val="0"/>
          <w:numId w:val="3"/>
        </w:numPr>
        <w:pBdr>
          <w:top w:color="auto" w:space="0" w:sz="0" w:val="none"/>
          <w:left w:color="auto" w:space="0" w:sz="0" w:val="none"/>
          <w:bottom w:color="auto" w:space="0" w:sz="0" w:val="none"/>
          <w:right w:color="auto" w:space="0" w:sz="0" w:val="none"/>
          <w:between w:color="auto" w:space="0" w:sz="0" w:val="none"/>
        </w:pBdr>
        <w:spacing w:after="24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The prescription is otherwise in conformity with the requirements of the CSA and 21 C.F.R. §1311.</w:t>
      </w:r>
    </w:p>
    <w:p w:rsidR="00000000" w:rsidDel="00000000" w:rsidP="00000000" w:rsidRDefault="00000000" w:rsidRPr="00000000" w14:paraId="00000067">
      <w:pPr>
        <w:pBdr>
          <w:top w:color="auto" w:space="0" w:sz="0" w:val="none"/>
          <w:left w:color="auto" w:space="0" w:sz="0" w:val="none"/>
          <w:bottom w:color="auto" w:space="0" w:sz="0" w:val="none"/>
          <w:right w:color="auto" w:space="0" w:sz="0" w:val="none"/>
          <w:between w:color="auto" w:space="0" w:sz="0" w:val="none"/>
        </w:pBdr>
        <w:spacing w:after="280" w:line="392.72727272727275" w:lineRule="auto"/>
        <w:ind w:left="0" w:firstLine="0"/>
        <w:rPr>
          <w:rFonts w:ascii="Cambria" w:cs="Cambria" w:eastAsia="Cambria" w:hAnsi="Cambria"/>
        </w:rPr>
      </w:pPr>
      <w:r w:rsidDel="00000000" w:rsidR="00000000" w:rsidRPr="00000000">
        <w:rPr>
          <w:rFonts w:ascii="Cambria" w:cs="Cambria" w:eastAsia="Cambria" w:hAnsi="Cambria"/>
          <w:rtl w:val="0"/>
        </w:rPr>
        <w:t xml:space="preserve">Hospital</w:t>
      </w:r>
    </w:p>
    <w:p w:rsidR="00000000" w:rsidDel="00000000" w:rsidP="00000000" w:rsidRDefault="00000000" w:rsidRPr="00000000" w14:paraId="00000068">
      <w:pPr>
        <w:numPr>
          <w:ilvl w:val="0"/>
          <w:numId w:val="13"/>
        </w:numPr>
        <w:pBdr>
          <w:top w:color="auto" w:space="0" w:sz="0" w:val="none"/>
          <w:left w:color="auto" w:space="0" w:sz="0" w:val="none"/>
          <w:bottom w:color="auto" w:space="0" w:sz="0" w:val="none"/>
          <w:right w:color="auto" w:space="0" w:sz="0" w:val="none"/>
          <w:between w:color="auto" w:space="0" w:sz="0" w:val="none"/>
        </w:pBdr>
        <w:spacing w:after="0" w:afterAutospacing="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The hospital authorizes the prescriber to dispense or prescribe under the hospital registration, and designates a specific internal code number for each such prescriber. The code number shall consist of numbers, letters, or a combination, and shall be a suffix to the hospital’s DEA number, preceded by a hyphen; and</w:t>
      </w:r>
    </w:p>
    <w:p w:rsidR="00000000" w:rsidDel="00000000" w:rsidP="00000000" w:rsidRDefault="00000000" w:rsidRPr="00000000" w14:paraId="00000069">
      <w:pPr>
        <w:numPr>
          <w:ilvl w:val="0"/>
          <w:numId w:val="13"/>
        </w:numPr>
        <w:pBdr>
          <w:top w:color="auto" w:space="0" w:sz="0" w:val="none"/>
          <w:left w:color="auto" w:space="0" w:sz="0" w:val="none"/>
          <w:bottom w:color="auto" w:space="0" w:sz="0" w:val="none"/>
          <w:right w:color="auto" w:space="0" w:sz="0" w:val="none"/>
          <w:between w:color="auto" w:space="0" w:sz="0" w:val="none"/>
        </w:pBdr>
        <w:spacing w:after="0" w:afterAutospacing="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A current list of internal codes and the corresponding prescriber is kept by the hospital and is made available to other registrants and law enforcement agencies for the purpose of verifying the prescriber’s authority.</w:t>
      </w:r>
    </w:p>
    <w:p w:rsidR="00000000" w:rsidDel="00000000" w:rsidP="00000000" w:rsidRDefault="00000000" w:rsidRPr="00000000" w14:paraId="0000006A">
      <w:pPr>
        <w:numPr>
          <w:ilvl w:val="0"/>
          <w:numId w:val="13"/>
        </w:numPr>
        <w:pBdr>
          <w:top w:color="auto" w:space="0" w:sz="0" w:val="none"/>
          <w:left w:color="auto" w:space="0" w:sz="0" w:val="none"/>
          <w:bottom w:color="auto" w:space="0" w:sz="0" w:val="none"/>
          <w:right w:color="auto" w:space="0" w:sz="0" w:val="none"/>
          <w:between w:color="auto" w:space="0" w:sz="0" w:val="none"/>
        </w:pBdr>
        <w:spacing w:after="24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They are assigned a special internal code number as a suffix to the DEA registration number.</w:t>
      </w:r>
    </w:p>
    <w:p w:rsidR="00000000" w:rsidDel="00000000" w:rsidP="00000000" w:rsidRDefault="00000000" w:rsidRPr="00000000" w14:paraId="0000006B">
      <w:pPr>
        <w:pBdr>
          <w:top w:color="auto" w:space="0" w:sz="0" w:val="none"/>
          <w:left w:color="auto" w:space="0" w:sz="0" w:val="none"/>
          <w:bottom w:color="auto" w:space="0" w:sz="0" w:val="none"/>
          <w:right w:color="auto" w:space="0" w:sz="0" w:val="none"/>
          <w:between w:color="auto" w:space="0" w:sz="0" w:val="none"/>
        </w:pBdr>
        <w:spacing w:after="280" w:line="392.72727272727275" w:lineRule="auto"/>
        <w:rPr>
          <w:rFonts w:ascii="Cambria" w:cs="Cambria" w:eastAsia="Cambria" w:hAnsi="Cambria"/>
          <w:i w:val="1"/>
        </w:rPr>
      </w:pPr>
      <w:r w:rsidDel="00000000" w:rsidR="00000000" w:rsidRPr="00000000">
        <w:rPr>
          <w:rFonts w:ascii="Cambria" w:cs="Cambria" w:eastAsia="Cambria" w:hAnsi="Cambria"/>
          <w:i w:val="1"/>
          <w:rtl w:val="0"/>
        </w:rPr>
        <w:t xml:space="preserve">Exemption of Federal Government Practitioners from Registration</w:t>
      </w:r>
    </w:p>
    <w:p w:rsidR="00000000" w:rsidDel="00000000" w:rsidP="00000000" w:rsidRDefault="00000000" w:rsidRPr="00000000" w14:paraId="0000006C">
      <w:pPr>
        <w:pBdr>
          <w:top w:color="auto" w:space="0" w:sz="0" w:val="none"/>
          <w:left w:color="auto" w:space="0" w:sz="0" w:val="none"/>
          <w:bottom w:color="auto" w:space="0" w:sz="0" w:val="none"/>
          <w:right w:color="auto" w:space="0" w:sz="0" w:val="none"/>
          <w:between w:color="auto" w:space="0" w:sz="0" w:val="none"/>
        </w:pBdr>
        <w:spacing w:after="280" w:line="392.72727272727275" w:lineRule="auto"/>
        <w:rPr>
          <w:rFonts w:ascii="Cambria" w:cs="Cambria" w:eastAsia="Cambria" w:hAnsi="Cambria"/>
        </w:rPr>
      </w:pPr>
      <w:r w:rsidDel="00000000" w:rsidR="00000000" w:rsidRPr="00000000">
        <w:rPr>
          <w:rFonts w:ascii="Cambria" w:cs="Cambria" w:eastAsia="Cambria" w:hAnsi="Cambria"/>
          <w:rtl w:val="0"/>
        </w:rPr>
        <w:t xml:space="preserve">The requirement of registration is waived for any official of the U.S. Army, Navy, Marine Corps, Air Force, Coast Guard, Public Health Service, or Bureau of Prisons, who is authorized to administer, dispense, or prescribe, but not to procure or purchase controlled substances in the course of his or her official duties.</w:t>
      </w:r>
    </w:p>
    <w:p w:rsidR="00000000" w:rsidDel="00000000" w:rsidP="00000000" w:rsidRDefault="00000000" w:rsidRPr="00000000" w14:paraId="0000006D">
      <w:pPr>
        <w:pBdr>
          <w:top w:color="auto" w:space="0" w:sz="0" w:val="none"/>
          <w:left w:color="auto" w:space="0" w:sz="0" w:val="none"/>
          <w:bottom w:color="auto" w:space="0" w:sz="0" w:val="none"/>
          <w:right w:color="auto" w:space="0" w:sz="0" w:val="none"/>
          <w:between w:color="auto" w:space="0" w:sz="0" w:val="none"/>
        </w:pBdr>
        <w:spacing w:after="280" w:line="392.72727272727275" w:lineRule="auto"/>
        <w:ind w:left="0" w:firstLine="0"/>
        <w:rPr>
          <w:rFonts w:ascii="Cambria" w:cs="Cambria" w:eastAsia="Cambria" w:hAnsi="Cambria"/>
        </w:rPr>
      </w:pPr>
      <w:r w:rsidDel="00000000" w:rsidR="00000000" w:rsidRPr="00000000">
        <w:rPr>
          <w:rFonts w:ascii="Cambria" w:cs="Cambria" w:eastAsia="Cambria" w:hAnsi="Cambria"/>
          <w:rtl w:val="0"/>
        </w:rPr>
        <w:t xml:space="preserve">CII</w:t>
      </w:r>
    </w:p>
    <w:p w:rsidR="00000000" w:rsidDel="00000000" w:rsidP="00000000" w:rsidRDefault="00000000" w:rsidRPr="00000000" w14:paraId="0000006E">
      <w:pPr>
        <w:pBdr>
          <w:top w:color="auto" w:space="0" w:sz="0" w:val="none"/>
          <w:left w:color="auto" w:space="0" w:sz="0" w:val="none"/>
          <w:bottom w:color="auto" w:space="0" w:sz="0" w:val="none"/>
          <w:right w:color="auto" w:space="0" w:sz="0" w:val="none"/>
          <w:between w:color="auto" w:space="0" w:sz="0" w:val="none"/>
        </w:pBdr>
        <w:spacing w:after="280" w:line="392.72727272727275" w:lineRule="auto"/>
        <w:ind w:left="0" w:firstLine="0"/>
        <w:rPr>
          <w:rFonts w:ascii="Cambria" w:cs="Cambria" w:eastAsia="Cambria" w:hAnsi="Cambria"/>
        </w:rPr>
      </w:pPr>
      <w:r w:rsidDel="00000000" w:rsidR="00000000" w:rsidRPr="00000000">
        <w:rPr>
          <w:rFonts w:ascii="Cambria" w:cs="Cambria" w:eastAsia="Cambria" w:hAnsi="Cambria"/>
          <w:rtl w:val="0"/>
        </w:rPr>
        <w:t xml:space="preserve">Schedule II controlled substances require a written prescription which must be manually signed by the practitioner or an electronic prescription that meets all DEA requirements for electronic prescriptions for controlled substances. There is no federal time limit within which a Schedule II prescription must be filled after being signed by the practitioner. However, the pharmacist must determine that the prescription is still needed by the patient. For a Schedule II controlled substance, an oral order is only permitted in an emergency situation.</w:t>
      </w:r>
    </w:p>
    <w:p w:rsidR="00000000" w:rsidDel="00000000" w:rsidP="00000000" w:rsidRDefault="00000000" w:rsidRPr="00000000" w14:paraId="0000006F">
      <w:pPr>
        <w:pBdr>
          <w:top w:color="auto" w:space="0" w:sz="0" w:val="none"/>
          <w:left w:color="auto" w:space="0" w:sz="0" w:val="none"/>
          <w:bottom w:color="auto" w:space="0" w:sz="0" w:val="none"/>
          <w:right w:color="auto" w:space="0" w:sz="0" w:val="none"/>
          <w:between w:color="auto" w:space="0" w:sz="0" w:val="none"/>
        </w:pBdr>
        <w:spacing w:after="280" w:line="392.72727272727275" w:lineRule="auto"/>
        <w:rPr>
          <w:rFonts w:ascii="Cambria" w:cs="Cambria" w:eastAsia="Cambria" w:hAnsi="Cambria"/>
        </w:rPr>
      </w:pPr>
      <w:r w:rsidDel="00000000" w:rsidR="00000000" w:rsidRPr="00000000">
        <w:rPr>
          <w:rFonts w:ascii="Cambria" w:cs="Cambria" w:eastAsia="Cambria" w:hAnsi="Cambria"/>
          <w:rtl w:val="0"/>
        </w:rPr>
        <w:t xml:space="preserve">Issuance of Multiple Prescriptions for Schedule II Controlled Substances</w:t>
      </w:r>
    </w:p>
    <w:p w:rsidR="00000000" w:rsidDel="00000000" w:rsidP="00000000" w:rsidRDefault="00000000" w:rsidRPr="00000000" w14:paraId="00000070">
      <w:pPr>
        <w:numPr>
          <w:ilvl w:val="0"/>
          <w:numId w:val="39"/>
        </w:numPr>
        <w:pBdr>
          <w:top w:color="auto" w:space="0" w:sz="0" w:val="none"/>
          <w:left w:color="auto" w:space="0" w:sz="0" w:val="none"/>
          <w:bottom w:color="auto" w:space="0" w:sz="0" w:val="none"/>
          <w:right w:color="auto" w:space="0" w:sz="0" w:val="none"/>
          <w:between w:color="auto" w:space="0" w:sz="0" w:val="none"/>
        </w:pBdr>
        <w:spacing w:after="24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Although there is no federal limit as to the amount of controlled substances a practitioner can legitimately prescribe, the DEA has revised its regulations regarding the issuance of multiple prescriptions for Schedule II controlled substances to allow a practitioner to prescribe up to a 90-day supply. Under the new regulation, a practitioner may provide individual patients with multiple prescriptions for the same schedule II controlled substance to be filled sequentially. The combined effect of these multiple prescriptions is to allow the patient to receive, over time, up to a 90-day supply of that controlled substance.</w:t>
      </w:r>
    </w:p>
    <w:p w:rsidR="00000000" w:rsidDel="00000000" w:rsidP="00000000" w:rsidRDefault="00000000" w:rsidRPr="00000000" w14:paraId="00000071">
      <w:pPr>
        <w:pBdr>
          <w:top w:color="auto" w:space="0" w:sz="0" w:val="none"/>
          <w:left w:color="auto" w:space="0" w:sz="0" w:val="none"/>
          <w:bottom w:color="auto" w:space="0" w:sz="0" w:val="none"/>
          <w:right w:color="auto" w:space="0" w:sz="0" w:val="none"/>
          <w:between w:color="auto" w:space="0" w:sz="0" w:val="none"/>
        </w:pBdr>
        <w:spacing w:after="280" w:line="392.72727272727275" w:lineRule="auto"/>
        <w:rPr>
          <w:rFonts w:ascii="Cambria" w:cs="Cambria" w:eastAsia="Cambria" w:hAnsi="Cambria"/>
        </w:rPr>
      </w:pPr>
      <w:r w:rsidDel="00000000" w:rsidR="00000000" w:rsidRPr="00000000">
        <w:rPr>
          <w:rtl w:val="0"/>
        </w:rPr>
      </w:r>
    </w:p>
    <w:p w:rsidR="00000000" w:rsidDel="00000000" w:rsidP="00000000" w:rsidRDefault="00000000" w:rsidRPr="00000000" w14:paraId="00000072">
      <w:pPr>
        <w:pBdr>
          <w:top w:color="auto" w:space="0" w:sz="0" w:val="none"/>
          <w:left w:color="auto" w:space="0" w:sz="0" w:val="none"/>
          <w:bottom w:color="auto" w:space="0" w:sz="0" w:val="none"/>
          <w:right w:color="auto" w:space="0" w:sz="0" w:val="none"/>
          <w:between w:color="auto" w:space="0" w:sz="0" w:val="none"/>
        </w:pBdr>
        <w:spacing w:after="280" w:line="392.72727272727275" w:lineRule="auto"/>
        <w:rPr>
          <w:rFonts w:ascii="Cambria" w:cs="Cambria" w:eastAsia="Cambria" w:hAnsi="Cambria"/>
        </w:rPr>
      </w:pPr>
      <w:r w:rsidDel="00000000" w:rsidR="00000000" w:rsidRPr="00000000">
        <w:rPr>
          <w:rFonts w:ascii="Cambria" w:cs="Cambria" w:eastAsia="Cambria" w:hAnsi="Cambria"/>
          <w:rtl w:val="0"/>
        </w:rPr>
        <w:t xml:space="preserve">Facsimile Prescriptions for Schedule II Controlled Substances</w:t>
      </w:r>
    </w:p>
    <w:p w:rsidR="00000000" w:rsidDel="00000000" w:rsidP="00000000" w:rsidRDefault="00000000" w:rsidRPr="00000000" w14:paraId="00000073">
      <w:pPr>
        <w:pBdr>
          <w:top w:color="auto" w:space="0" w:sz="0" w:val="none"/>
          <w:left w:color="auto" w:space="0" w:sz="0" w:val="none"/>
          <w:bottom w:color="auto" w:space="0" w:sz="0" w:val="none"/>
          <w:right w:color="auto" w:space="0" w:sz="0" w:val="none"/>
          <w:between w:color="auto" w:space="0" w:sz="0" w:val="none"/>
        </w:pBdr>
        <w:spacing w:after="280" w:line="392.72727272727275" w:lineRule="auto"/>
        <w:rPr>
          <w:rFonts w:ascii="Cambria" w:cs="Cambria" w:eastAsia="Cambria" w:hAnsi="Cambria"/>
        </w:rPr>
      </w:pPr>
      <w:r w:rsidDel="00000000" w:rsidR="00000000" w:rsidRPr="00000000">
        <w:rPr>
          <w:rFonts w:ascii="Cambria" w:cs="Cambria" w:eastAsia="Cambria" w:hAnsi="Cambria"/>
          <w:rtl w:val="0"/>
        </w:rPr>
        <w:t xml:space="preserve">In order to expedite the filling of a prescription, a prescriber may transmit a Schedule II prescription to the pharmacy by facsimile. The original Schedule II prescription must be presented to the pharmacist and verified against the facsimile at the time the controlled substance is actually dispensed.</w:t>
      </w:r>
    </w:p>
    <w:p w:rsidR="00000000" w:rsidDel="00000000" w:rsidP="00000000" w:rsidRDefault="00000000" w:rsidRPr="00000000" w14:paraId="00000074">
      <w:pPr>
        <w:pBdr>
          <w:top w:color="auto" w:space="0" w:sz="0" w:val="none"/>
          <w:left w:color="auto" w:space="0" w:sz="0" w:val="none"/>
          <w:bottom w:color="auto" w:space="0" w:sz="0" w:val="none"/>
          <w:right w:color="auto" w:space="0" w:sz="0" w:val="none"/>
          <w:between w:color="auto" w:space="0" w:sz="0" w:val="none"/>
        </w:pBdr>
        <w:spacing w:after="280" w:line="392.72727272727275" w:lineRule="auto"/>
        <w:ind w:left="0" w:firstLine="0"/>
        <w:rPr>
          <w:rFonts w:ascii="Cambria" w:cs="Cambria" w:eastAsia="Cambria" w:hAnsi="Cambria"/>
        </w:rPr>
      </w:pPr>
      <w:r w:rsidDel="00000000" w:rsidR="00000000" w:rsidRPr="00000000">
        <w:rPr>
          <w:rFonts w:ascii="Cambria" w:cs="Cambria" w:eastAsia="Cambria" w:hAnsi="Cambria"/>
          <w:rtl w:val="0"/>
        </w:rPr>
        <w:t xml:space="preserve">A practitioner prescribing a Schedule II narcotic controlled substance to be compounded for the direct administration to a patient by parenteral, intravenous, intramuscular, subcutaneous, or intraspinal infusion may transmit the prescription by facsimile. The pharmacy will consider the facsimile prescription a “written prescription” and no further documentation is required. All normal requirements of a legal prescription must be followed.</w:t>
      </w:r>
    </w:p>
    <w:p w:rsidR="00000000" w:rsidDel="00000000" w:rsidP="00000000" w:rsidRDefault="00000000" w:rsidRPr="00000000" w14:paraId="00000075">
      <w:pPr>
        <w:pBdr>
          <w:top w:color="auto" w:space="0" w:sz="0" w:val="none"/>
          <w:left w:color="auto" w:space="0" w:sz="0" w:val="none"/>
          <w:bottom w:color="auto" w:space="0" w:sz="0" w:val="none"/>
          <w:right w:color="auto" w:space="0" w:sz="0" w:val="none"/>
          <w:between w:color="auto" w:space="0" w:sz="0" w:val="none"/>
        </w:pBdr>
        <w:spacing w:after="280" w:line="392.72727272727275" w:lineRule="auto"/>
        <w:ind w:left="0" w:firstLine="0"/>
        <w:rPr>
          <w:rFonts w:ascii="Cambria" w:cs="Cambria" w:eastAsia="Cambria" w:hAnsi="Cambria"/>
        </w:rPr>
      </w:pPr>
      <w:r w:rsidDel="00000000" w:rsidR="00000000" w:rsidRPr="00000000">
        <w:rPr>
          <w:rFonts w:ascii="Cambria" w:cs="Cambria" w:eastAsia="Cambria" w:hAnsi="Cambria"/>
          <w:rtl w:val="0"/>
        </w:rPr>
        <w:t xml:space="preserve">CIII-V</w:t>
      </w:r>
    </w:p>
    <w:p w:rsidR="00000000" w:rsidDel="00000000" w:rsidP="00000000" w:rsidRDefault="00000000" w:rsidRPr="00000000" w14:paraId="00000076">
      <w:pPr>
        <w:pBdr>
          <w:top w:color="auto" w:space="0" w:sz="0" w:val="none"/>
          <w:left w:color="auto" w:space="0" w:sz="0" w:val="none"/>
          <w:bottom w:color="auto" w:space="0" w:sz="0" w:val="none"/>
          <w:right w:color="auto" w:space="0" w:sz="0" w:val="none"/>
          <w:between w:color="auto" w:space="0" w:sz="0" w:val="none"/>
        </w:pBdr>
        <w:spacing w:after="280" w:line="392.72727272727275" w:lineRule="auto"/>
        <w:ind w:left="0" w:firstLine="0"/>
        <w:rPr>
          <w:rFonts w:ascii="Cambria" w:cs="Cambria" w:eastAsia="Cambria" w:hAnsi="Cambria"/>
          <w:b w:val="1"/>
        </w:rPr>
      </w:pPr>
      <w:r w:rsidDel="00000000" w:rsidR="00000000" w:rsidRPr="00000000">
        <w:rPr>
          <w:rFonts w:ascii="Cambria" w:cs="Cambria" w:eastAsia="Cambria" w:hAnsi="Cambria"/>
          <w:b w:val="1"/>
          <w:rtl w:val="0"/>
        </w:rPr>
        <w:t xml:space="preserve">Facsimile prescriptions for Schedules III-V controlled substances may be utilized from the practitioner or the practitioner’s agent to the dispensing pharmacy. The facsimile is considered to be equivalent to an original prescription as long as the practitioner has manually signed the prescription.</w:t>
      </w:r>
    </w:p>
    <w:p w:rsidR="00000000" w:rsidDel="00000000" w:rsidP="00000000" w:rsidRDefault="00000000" w:rsidRPr="00000000" w14:paraId="00000077">
      <w:pPr>
        <w:pBdr>
          <w:top w:color="auto" w:space="0" w:sz="0" w:val="none"/>
          <w:left w:color="auto" w:space="0" w:sz="0" w:val="none"/>
          <w:bottom w:color="auto" w:space="0" w:sz="0" w:val="none"/>
          <w:right w:color="auto" w:space="0" w:sz="0" w:val="none"/>
          <w:between w:color="auto" w:space="0" w:sz="0" w:val="none"/>
        </w:pBdr>
        <w:spacing w:after="280" w:line="392.72727272727275" w:lineRule="auto"/>
        <w:ind w:left="0" w:firstLine="0"/>
        <w:rPr>
          <w:rFonts w:ascii="Cambria" w:cs="Cambria" w:eastAsia="Cambria" w:hAnsi="Cambria"/>
          <w:b w:val="1"/>
        </w:rPr>
      </w:pPr>
      <w:r w:rsidDel="00000000" w:rsidR="00000000" w:rsidRPr="00000000">
        <w:rPr>
          <w:rtl w:val="0"/>
        </w:rPr>
      </w:r>
    </w:p>
    <w:p w:rsidR="00000000" w:rsidDel="00000000" w:rsidP="00000000" w:rsidRDefault="00000000" w:rsidRPr="00000000" w14:paraId="00000078">
      <w:pPr>
        <w:pBdr>
          <w:top w:color="auto" w:space="0" w:sz="0" w:val="none"/>
          <w:left w:color="auto" w:space="0" w:sz="0" w:val="none"/>
          <w:bottom w:color="auto" w:space="0" w:sz="0" w:val="none"/>
          <w:right w:color="auto" w:space="0" w:sz="0" w:val="none"/>
          <w:between w:color="auto" w:space="0" w:sz="0" w:val="none"/>
        </w:pBdr>
        <w:spacing w:after="280" w:line="392.72727272727275" w:lineRule="auto"/>
        <w:rPr>
          <w:rFonts w:ascii="Cambria" w:cs="Cambria" w:eastAsia="Cambria" w:hAnsi="Cambria"/>
        </w:rPr>
      </w:pPr>
      <w:r w:rsidDel="00000000" w:rsidR="00000000" w:rsidRPr="00000000">
        <w:rPr>
          <w:rFonts w:ascii="Cambria" w:cs="Cambria" w:eastAsia="Cambria" w:hAnsi="Cambria"/>
          <w:rtl w:val="0"/>
        </w:rPr>
        <w:t xml:space="preserve">Telephone Authorizations for Schedules III-V Controlled Substances</w:t>
      </w:r>
    </w:p>
    <w:p w:rsidR="00000000" w:rsidDel="00000000" w:rsidP="00000000" w:rsidRDefault="00000000" w:rsidRPr="00000000" w14:paraId="00000079">
      <w:pPr>
        <w:pBdr>
          <w:top w:color="auto" w:space="0" w:sz="0" w:val="none"/>
          <w:left w:color="auto" w:space="0" w:sz="0" w:val="none"/>
          <w:bottom w:color="auto" w:space="0" w:sz="0" w:val="none"/>
          <w:right w:color="auto" w:space="0" w:sz="0" w:val="none"/>
          <w:between w:color="auto" w:space="0" w:sz="0" w:val="none"/>
        </w:pBdr>
        <w:spacing w:after="280" w:line="392.72727272727275" w:lineRule="auto"/>
        <w:rPr>
          <w:rFonts w:ascii="Cambria" w:cs="Cambria" w:eastAsia="Cambria" w:hAnsi="Cambria"/>
        </w:rPr>
      </w:pPr>
      <w:r w:rsidDel="00000000" w:rsidR="00000000" w:rsidRPr="00000000">
        <w:rPr>
          <w:rFonts w:ascii="Cambria" w:cs="Cambria" w:eastAsia="Cambria" w:hAnsi="Cambria"/>
          <w:rtl w:val="0"/>
        </w:rPr>
        <w:t xml:space="preserve">A pharmacist may dispense a controlled substance listed in Schedules III, IV, or V pursuant to an oral prescription made by an </w:t>
      </w:r>
      <w:r w:rsidDel="00000000" w:rsidR="00000000" w:rsidRPr="00000000">
        <w:rPr>
          <w:rFonts w:ascii="Cambria" w:cs="Cambria" w:eastAsia="Cambria" w:hAnsi="Cambria"/>
          <w:b w:val="1"/>
          <w:rtl w:val="0"/>
        </w:rPr>
        <w:t xml:space="preserve">individual practitioner</w:t>
      </w:r>
      <w:r w:rsidDel="00000000" w:rsidR="00000000" w:rsidRPr="00000000">
        <w:rPr>
          <w:rFonts w:ascii="Cambria" w:cs="Cambria" w:eastAsia="Cambria" w:hAnsi="Cambria"/>
          <w:rtl w:val="0"/>
        </w:rPr>
        <w:t xml:space="preserve"> and promptly reduced to writing by the pharmacist containing all information required for a valid prescription except for the signature of the practitioner.</w:t>
      </w:r>
    </w:p>
    <w:p w:rsidR="00000000" w:rsidDel="00000000" w:rsidP="00000000" w:rsidRDefault="00000000" w:rsidRPr="00000000" w14:paraId="0000007A">
      <w:pPr>
        <w:pBdr>
          <w:top w:color="auto" w:space="0" w:sz="0" w:val="none"/>
          <w:left w:color="auto" w:space="0" w:sz="0" w:val="none"/>
          <w:bottom w:color="auto" w:space="0" w:sz="0" w:val="none"/>
          <w:right w:color="auto" w:space="0" w:sz="0" w:val="none"/>
          <w:between w:color="auto" w:space="0" w:sz="0" w:val="none"/>
        </w:pBdr>
        <w:spacing w:after="280" w:line="392.72727272727275" w:lineRule="auto"/>
        <w:ind w:left="0" w:firstLine="0"/>
        <w:rPr>
          <w:rFonts w:ascii="Cambria" w:cs="Cambria" w:eastAsia="Cambria" w:hAnsi="Cambria"/>
        </w:rPr>
      </w:pPr>
      <w:r w:rsidDel="00000000" w:rsidR="00000000" w:rsidRPr="00000000">
        <w:rPr>
          <w:rtl w:val="0"/>
        </w:rPr>
      </w:r>
    </w:p>
    <w:p w:rsidR="00000000" w:rsidDel="00000000" w:rsidP="00000000" w:rsidRDefault="00000000" w:rsidRPr="00000000" w14:paraId="0000007B">
      <w:pPr>
        <w:pBdr>
          <w:top w:color="auto" w:space="0" w:sz="0" w:val="none"/>
          <w:left w:color="auto" w:space="0" w:sz="0" w:val="none"/>
          <w:bottom w:color="auto" w:space="0" w:sz="0" w:val="none"/>
          <w:right w:color="auto" w:space="0" w:sz="0" w:val="none"/>
          <w:between w:color="auto" w:space="0" w:sz="0" w:val="none"/>
        </w:pBdr>
        <w:spacing w:after="280" w:line="392.72727272727275" w:lineRule="auto"/>
        <w:ind w:left="0" w:firstLine="0"/>
        <w:rPr>
          <w:rFonts w:ascii="Cambria" w:cs="Cambria" w:eastAsia="Cambria" w:hAnsi="Cambria"/>
        </w:rPr>
      </w:pPr>
      <w:r w:rsidDel="00000000" w:rsidR="00000000" w:rsidRPr="00000000">
        <w:rPr>
          <w:rFonts w:ascii="Cambria" w:cs="Cambria" w:eastAsia="Cambria" w:hAnsi="Cambria"/>
          <w:rtl w:val="0"/>
        </w:rPr>
        <w:t xml:space="preserve">Dispensing requirements</w:t>
      </w:r>
    </w:p>
    <w:p w:rsidR="00000000" w:rsidDel="00000000" w:rsidP="00000000" w:rsidRDefault="00000000" w:rsidRPr="00000000" w14:paraId="0000007C">
      <w:pPr>
        <w:pBdr>
          <w:top w:color="auto" w:space="0" w:sz="0" w:val="none"/>
          <w:left w:color="auto" w:space="0" w:sz="0" w:val="none"/>
          <w:bottom w:color="auto" w:space="0" w:sz="0" w:val="none"/>
          <w:right w:color="auto" w:space="0" w:sz="0" w:val="none"/>
          <w:between w:color="auto" w:space="0" w:sz="0" w:val="none"/>
        </w:pBdr>
        <w:spacing w:after="280" w:line="392.72727272727275" w:lineRule="auto"/>
        <w:ind w:left="0" w:firstLine="0"/>
        <w:rPr>
          <w:rFonts w:ascii="Cambria" w:cs="Cambria" w:eastAsia="Cambria" w:hAnsi="Cambria"/>
          <w:b w:val="1"/>
        </w:rPr>
      </w:pPr>
      <w:r w:rsidDel="00000000" w:rsidR="00000000" w:rsidRPr="00000000">
        <w:rPr>
          <w:rFonts w:ascii="Cambria" w:cs="Cambria" w:eastAsia="Cambria" w:hAnsi="Cambria"/>
          <w:rtl w:val="0"/>
        </w:rPr>
        <w:t xml:space="preserve">The pharmacist dispensing a prescription for a controlled substance listed in Schedules II, III, IV, or V must affix to the package a label showing date of filling, the pharmacy name and address, the prescription number, the name of the patient, the name of the prescribing practitioner, and directions for use and cautionary statements, if any, contained in such prescription or required by law. </w:t>
      </w:r>
      <w:r w:rsidDel="00000000" w:rsidR="00000000" w:rsidRPr="00000000">
        <w:rPr>
          <w:rFonts w:ascii="Cambria" w:cs="Cambria" w:eastAsia="Cambria" w:hAnsi="Cambria"/>
          <w:b w:val="1"/>
          <w:rtl w:val="0"/>
        </w:rPr>
        <w:t xml:space="preserve">In addition, the label for any controlled substance must contain the following statement:</w:t>
      </w:r>
      <w:r w:rsidDel="00000000" w:rsidR="00000000" w:rsidRPr="00000000">
        <w:rPr>
          <w:rFonts w:ascii="Cambria" w:cs="Cambria" w:eastAsia="Cambria" w:hAnsi="Cambria"/>
          <w:rtl w:val="0"/>
        </w:rPr>
        <w:t xml:space="preserve"> “</w:t>
      </w:r>
      <w:r w:rsidDel="00000000" w:rsidR="00000000" w:rsidRPr="00000000">
        <w:rPr>
          <w:rFonts w:ascii="Cambria" w:cs="Cambria" w:eastAsia="Cambria" w:hAnsi="Cambria"/>
          <w:b w:val="1"/>
          <w:rtl w:val="0"/>
        </w:rPr>
        <w:t xml:space="preserve">CAUTION: Federal law prohibits the transfer of this drug to any person other than the patient for whom it was prescribed.”</w:t>
      </w:r>
    </w:p>
    <w:p w:rsidR="00000000" w:rsidDel="00000000" w:rsidP="00000000" w:rsidRDefault="00000000" w:rsidRPr="00000000" w14:paraId="0000007D">
      <w:pPr>
        <w:pBdr>
          <w:top w:color="auto" w:space="0" w:sz="0" w:val="none"/>
          <w:left w:color="auto" w:space="0" w:sz="0" w:val="none"/>
          <w:bottom w:color="auto" w:space="0" w:sz="0" w:val="none"/>
          <w:right w:color="auto" w:space="0" w:sz="0" w:val="none"/>
          <w:between w:color="auto" w:space="0" w:sz="0" w:val="none"/>
        </w:pBdr>
        <w:spacing w:after="280" w:line="392.72727272727275" w:lineRule="auto"/>
        <w:ind w:left="0" w:firstLine="0"/>
        <w:rPr>
          <w:rFonts w:ascii="Cambria" w:cs="Cambria" w:eastAsia="Cambria" w:hAnsi="Cambria"/>
          <w:b w:val="1"/>
        </w:rPr>
      </w:pPr>
      <w:r w:rsidDel="00000000" w:rsidR="00000000" w:rsidRPr="00000000">
        <w:rPr>
          <w:rtl w:val="0"/>
        </w:rPr>
      </w:r>
    </w:p>
    <w:p w:rsidR="00000000" w:rsidDel="00000000" w:rsidP="00000000" w:rsidRDefault="00000000" w:rsidRPr="00000000" w14:paraId="0000007E">
      <w:pPr>
        <w:pBdr>
          <w:top w:color="auto" w:space="0" w:sz="0" w:val="none"/>
          <w:left w:color="auto" w:space="0" w:sz="0" w:val="none"/>
          <w:bottom w:color="auto" w:space="0" w:sz="0" w:val="none"/>
          <w:right w:color="auto" w:space="0" w:sz="0" w:val="none"/>
          <w:between w:color="auto" w:space="0" w:sz="0" w:val="none"/>
        </w:pBdr>
        <w:spacing w:after="280" w:line="392.72727272727275" w:lineRule="auto"/>
        <w:ind w:left="0" w:firstLine="0"/>
        <w:rPr>
          <w:rFonts w:ascii="Cambria" w:cs="Cambria" w:eastAsia="Cambria" w:hAnsi="Cambria"/>
        </w:rPr>
      </w:pPr>
      <w:r w:rsidDel="00000000" w:rsidR="00000000" w:rsidRPr="00000000">
        <w:rPr>
          <w:rFonts w:ascii="Cambria" w:cs="Cambria" w:eastAsia="Cambria" w:hAnsi="Cambria"/>
          <w:rtl w:val="0"/>
        </w:rPr>
        <w:t xml:space="preserve">LTCF and terminally ill - paritials cannot exceed 60 days </w:t>
      </w:r>
    </w:p>
    <w:p w:rsidR="00000000" w:rsidDel="00000000" w:rsidP="00000000" w:rsidRDefault="00000000" w:rsidRPr="00000000" w14:paraId="0000007F">
      <w:pPr>
        <w:pBdr>
          <w:top w:color="auto" w:space="0" w:sz="0" w:val="none"/>
          <w:left w:color="auto" w:space="0" w:sz="0" w:val="none"/>
          <w:bottom w:color="auto" w:space="0" w:sz="0" w:val="none"/>
          <w:right w:color="auto" w:space="0" w:sz="0" w:val="none"/>
          <w:between w:color="auto" w:space="0" w:sz="0" w:val="none"/>
        </w:pBdr>
        <w:spacing w:after="280" w:line="392.72727272727275" w:lineRule="auto"/>
        <w:ind w:left="0" w:firstLine="0"/>
        <w:rPr>
          <w:rFonts w:ascii="Cambria" w:cs="Cambria" w:eastAsia="Cambria" w:hAnsi="Cambria"/>
        </w:rPr>
      </w:pPr>
      <w:r w:rsidDel="00000000" w:rsidR="00000000" w:rsidRPr="00000000">
        <w:rPr>
          <w:rtl w:val="0"/>
        </w:rPr>
      </w:r>
    </w:p>
    <w:p w:rsidR="00000000" w:rsidDel="00000000" w:rsidP="00000000" w:rsidRDefault="00000000" w:rsidRPr="00000000" w14:paraId="00000080">
      <w:pPr>
        <w:pBdr>
          <w:top w:color="auto" w:space="0" w:sz="0" w:val="none"/>
          <w:left w:color="auto" w:space="0" w:sz="0" w:val="none"/>
          <w:bottom w:color="auto" w:space="0" w:sz="0" w:val="none"/>
          <w:right w:color="auto" w:space="0" w:sz="0" w:val="none"/>
          <w:between w:color="auto" w:space="0" w:sz="0" w:val="none"/>
        </w:pBdr>
        <w:spacing w:after="280" w:line="392.72727272727275" w:lineRule="auto"/>
        <w:ind w:left="0" w:firstLine="0"/>
        <w:rPr>
          <w:rFonts w:ascii="Cambria" w:cs="Cambria" w:eastAsia="Cambria" w:hAnsi="Cambria"/>
        </w:rPr>
      </w:pPr>
      <w:r w:rsidDel="00000000" w:rsidR="00000000" w:rsidRPr="00000000">
        <w:rPr>
          <w:rFonts w:ascii="Cambria" w:cs="Cambria" w:eastAsia="Cambria" w:hAnsi="Cambria"/>
          <w:rtl w:val="0"/>
        </w:rPr>
        <w:t xml:space="preserve">Combat Methamphetiamine Act of 2005</w:t>
      </w:r>
    </w:p>
    <w:p w:rsidR="00000000" w:rsidDel="00000000" w:rsidP="00000000" w:rsidRDefault="00000000" w:rsidRPr="00000000" w14:paraId="00000081">
      <w:pPr>
        <w:pBdr>
          <w:top w:color="auto" w:space="0" w:sz="0" w:val="none"/>
          <w:left w:color="auto" w:space="0" w:sz="0" w:val="none"/>
          <w:bottom w:color="auto" w:space="0" w:sz="0" w:val="none"/>
          <w:right w:color="auto" w:space="0" w:sz="0" w:val="none"/>
          <w:between w:color="auto" w:space="0" w:sz="0" w:val="none"/>
        </w:pBdr>
        <w:spacing w:after="280" w:line="392.72727272727275" w:lineRule="auto"/>
        <w:ind w:left="0" w:firstLine="0"/>
        <w:rPr>
          <w:rFonts w:ascii="Cambria" w:cs="Cambria" w:eastAsia="Cambria" w:hAnsi="Cambria"/>
        </w:rPr>
      </w:pPr>
      <w:r w:rsidDel="00000000" w:rsidR="00000000" w:rsidRPr="00000000">
        <w:rPr>
          <w:rFonts w:ascii="Cambria" w:cs="Cambria" w:eastAsia="Cambria" w:hAnsi="Cambria"/>
          <w:rtl w:val="0"/>
        </w:rPr>
        <w:t xml:space="preserve">List I chemicals </w:t>
      </w:r>
      <w:hyperlink r:id="rId9">
        <w:r w:rsidDel="00000000" w:rsidR="00000000" w:rsidRPr="00000000">
          <w:rPr>
            <w:rFonts w:ascii="Cambria" w:cs="Cambria" w:eastAsia="Cambria" w:hAnsi="Cambria"/>
            <w:rtl w:val="0"/>
          </w:rPr>
          <w:t xml:space="preserve">ephedrine</w:t>
        </w:r>
      </w:hyperlink>
      <w:r w:rsidDel="00000000" w:rsidR="00000000" w:rsidRPr="00000000">
        <w:rPr>
          <w:rFonts w:ascii="Cambria" w:cs="Cambria" w:eastAsia="Cambria" w:hAnsi="Cambria"/>
          <w:rtl w:val="0"/>
        </w:rPr>
        <w:t xml:space="preserve">, pseudoephedrine, and phenylpropanolamine (PPA), which can be used to manufacture </w:t>
      </w:r>
      <w:hyperlink r:id="rId10">
        <w:r w:rsidDel="00000000" w:rsidR="00000000" w:rsidRPr="00000000">
          <w:rPr>
            <w:rFonts w:ascii="Cambria" w:cs="Cambria" w:eastAsia="Cambria" w:hAnsi="Cambria"/>
            <w:rtl w:val="0"/>
          </w:rPr>
          <w:t xml:space="preserve">methamphetamine</w:t>
        </w:r>
      </w:hyperlink>
      <w:r w:rsidDel="00000000" w:rsidR="00000000" w:rsidRPr="00000000">
        <w:rPr>
          <w:rFonts w:ascii="Cambria" w:cs="Cambria" w:eastAsia="Cambria" w:hAnsi="Cambria"/>
          <w:rtl w:val="0"/>
        </w:rPr>
        <w:t xml:space="preserve"> illegally.</w:t>
      </w:r>
    </w:p>
    <w:p w:rsidR="00000000" w:rsidDel="00000000" w:rsidP="00000000" w:rsidRDefault="00000000" w:rsidRPr="00000000" w14:paraId="00000082">
      <w:pPr>
        <w:pBdr>
          <w:top w:color="auto" w:space="0" w:sz="0" w:val="none"/>
          <w:left w:color="auto" w:space="0" w:sz="0" w:val="none"/>
          <w:bottom w:color="auto" w:space="0" w:sz="0" w:val="none"/>
          <w:right w:color="auto" w:space="0" w:sz="0" w:val="none"/>
          <w:between w:color="auto" w:space="0" w:sz="0" w:val="none"/>
        </w:pBdr>
        <w:spacing w:after="280" w:line="392.72727272727275" w:lineRule="auto"/>
        <w:rPr>
          <w:rFonts w:ascii="Cambria" w:cs="Cambria" w:eastAsia="Cambria" w:hAnsi="Cambria"/>
          <w:i w:val="1"/>
        </w:rPr>
      </w:pPr>
      <w:r w:rsidDel="00000000" w:rsidR="00000000" w:rsidRPr="00000000">
        <w:rPr>
          <w:rFonts w:ascii="Cambria" w:cs="Cambria" w:eastAsia="Cambria" w:hAnsi="Cambria"/>
          <w:i w:val="1"/>
          <w:rtl w:val="0"/>
        </w:rPr>
        <w:t xml:space="preserve">Scheduled Listed Chemical Products</w:t>
      </w:r>
    </w:p>
    <w:p w:rsidR="00000000" w:rsidDel="00000000" w:rsidP="00000000" w:rsidRDefault="00000000" w:rsidRPr="00000000" w14:paraId="00000083">
      <w:pPr>
        <w:pBdr>
          <w:top w:color="auto" w:space="0" w:sz="0" w:val="none"/>
          <w:left w:color="auto" w:space="0" w:sz="0" w:val="none"/>
          <w:bottom w:color="auto" w:space="0" w:sz="0" w:val="none"/>
          <w:right w:color="auto" w:space="0" w:sz="0" w:val="none"/>
          <w:between w:color="auto" w:space="0" w:sz="0" w:val="none"/>
        </w:pBdr>
        <w:spacing w:after="280" w:line="392.72727272727275" w:lineRule="auto"/>
        <w:rPr>
          <w:rFonts w:ascii="Cambria" w:cs="Cambria" w:eastAsia="Cambria" w:hAnsi="Cambria"/>
        </w:rPr>
      </w:pPr>
      <w:r w:rsidDel="00000000" w:rsidR="00000000" w:rsidRPr="00000000">
        <w:rPr>
          <w:rFonts w:ascii="Cambria" w:cs="Cambria" w:eastAsia="Cambria" w:hAnsi="Cambria"/>
          <w:rtl w:val="0"/>
        </w:rPr>
        <w:t xml:space="preserve">The CMEA created a new category of products called “</w:t>
      </w:r>
      <w:r w:rsidDel="00000000" w:rsidR="00000000" w:rsidRPr="00000000">
        <w:rPr>
          <w:rFonts w:ascii="Cambria" w:cs="Cambria" w:eastAsia="Cambria" w:hAnsi="Cambria"/>
          <w:i w:val="1"/>
          <w:rtl w:val="0"/>
        </w:rPr>
        <w:t xml:space="preserve">scheduled listed chemical product (SLCP)</w:t>
      </w:r>
      <w:r w:rsidDel="00000000" w:rsidR="00000000" w:rsidRPr="00000000">
        <w:rPr>
          <w:rFonts w:ascii="Cambria" w:cs="Cambria" w:eastAsia="Cambria" w:hAnsi="Cambria"/>
          <w:rtl w:val="0"/>
        </w:rPr>
        <w:t xml:space="preserve">.” It includes any product that may be marketed or distributed lawfully in the United States under the Federal Food, Drug, and Cosmetic Act as a nonprescription drug that contains </w:t>
      </w:r>
      <w:hyperlink r:id="rId11">
        <w:r w:rsidDel="00000000" w:rsidR="00000000" w:rsidRPr="00000000">
          <w:rPr>
            <w:rFonts w:ascii="Cambria" w:cs="Cambria" w:eastAsia="Cambria" w:hAnsi="Cambria"/>
            <w:rtl w:val="0"/>
          </w:rPr>
          <w:t xml:space="preserve">ephedrine</w:t>
        </w:r>
      </w:hyperlink>
      <w:r w:rsidDel="00000000" w:rsidR="00000000" w:rsidRPr="00000000">
        <w:rPr>
          <w:rFonts w:ascii="Cambria" w:cs="Cambria" w:eastAsia="Cambria" w:hAnsi="Cambria"/>
          <w:rtl w:val="0"/>
        </w:rPr>
        <w:t xml:space="preserve">, pseudoephedrine, or PPA (includes salts, optical isomers, and salts of optical isomers).</w:t>
      </w:r>
    </w:p>
    <w:p w:rsidR="00000000" w:rsidDel="00000000" w:rsidP="00000000" w:rsidRDefault="00000000" w:rsidRPr="00000000" w14:paraId="00000084">
      <w:pPr>
        <w:pBdr>
          <w:top w:color="auto" w:space="0" w:sz="0" w:val="none"/>
          <w:left w:color="auto" w:space="0" w:sz="0" w:val="none"/>
          <w:bottom w:color="auto" w:space="0" w:sz="0" w:val="none"/>
          <w:right w:color="auto" w:space="0" w:sz="0" w:val="none"/>
          <w:between w:color="auto" w:space="0" w:sz="0" w:val="none"/>
        </w:pBdr>
        <w:spacing w:after="280" w:line="392.72727272727275" w:lineRule="auto"/>
        <w:rPr>
          <w:rFonts w:ascii="Cambria" w:cs="Cambria" w:eastAsia="Cambria" w:hAnsi="Cambria"/>
          <w:i w:val="1"/>
        </w:rPr>
      </w:pPr>
      <w:r w:rsidDel="00000000" w:rsidR="00000000" w:rsidRPr="00000000">
        <w:rPr>
          <w:rFonts w:ascii="Cambria" w:cs="Cambria" w:eastAsia="Cambria" w:hAnsi="Cambria"/>
          <w:i w:val="1"/>
          <w:rtl w:val="0"/>
        </w:rPr>
        <w:t xml:space="preserve">Loss or Theft of SLCPs</w:t>
      </w:r>
    </w:p>
    <w:p w:rsidR="00000000" w:rsidDel="00000000" w:rsidP="00000000" w:rsidRDefault="00000000" w:rsidRPr="00000000" w14:paraId="00000085">
      <w:pPr>
        <w:pBdr>
          <w:top w:color="auto" w:space="0" w:sz="0" w:val="none"/>
          <w:left w:color="auto" w:space="0" w:sz="0" w:val="none"/>
          <w:bottom w:color="auto" w:space="0" w:sz="0" w:val="none"/>
          <w:right w:color="auto" w:space="0" w:sz="0" w:val="none"/>
          <w:between w:color="auto" w:space="0" w:sz="0" w:val="none"/>
        </w:pBdr>
        <w:spacing w:after="280" w:line="392.72727272727275" w:lineRule="auto"/>
        <w:rPr>
          <w:rFonts w:ascii="Cambria" w:cs="Cambria" w:eastAsia="Cambria" w:hAnsi="Cambria"/>
          <w:i w:val="1"/>
        </w:rPr>
      </w:pPr>
      <w:r w:rsidDel="00000000" w:rsidR="00000000" w:rsidRPr="00000000">
        <w:rPr>
          <w:rFonts w:ascii="Cambria" w:cs="Cambria" w:eastAsia="Cambria" w:hAnsi="Cambria"/>
          <w:rtl w:val="0"/>
        </w:rPr>
        <w:t xml:space="preserve">A report should be made orally to the local DEA Diversion Field Office in the area where the pharmacy is located. A written report of losses must be filed within 15 days after the pharmacist becomes aware of the loss or theft.</w:t>
      </w:r>
      <w:hyperlink r:id="rId12">
        <w:r w:rsidDel="00000000" w:rsidR="00000000" w:rsidRPr="00000000">
          <w:rPr>
            <w:rFonts w:ascii="Cambria" w:cs="Cambria" w:eastAsia="Cambria" w:hAnsi="Cambria"/>
            <w:rtl w:val="0"/>
          </w:rPr>
          <w:t xml:space="preserve">16</w:t>
        </w:r>
      </w:hyperlink>
      <w:r w:rsidDel="00000000" w:rsidR="00000000" w:rsidRPr="00000000">
        <w:rPr>
          <w:rFonts w:ascii="Cambria" w:cs="Cambria" w:eastAsia="Cambria" w:hAnsi="Cambria"/>
          <w:rtl w:val="0"/>
        </w:rPr>
        <w:t xml:space="preserve"> A written report should include the DEA registration number, name, business address, date of loss, type of loss, and a description of the circumstances of the loss.</w:t>
      </w:r>
      <w:r w:rsidDel="00000000" w:rsidR="00000000" w:rsidRPr="00000000">
        <w:rPr>
          <w:rtl w:val="0"/>
        </w:rPr>
      </w:r>
    </w:p>
    <w:p w:rsidR="00000000" w:rsidDel="00000000" w:rsidP="00000000" w:rsidRDefault="00000000" w:rsidRPr="00000000" w14:paraId="00000086">
      <w:pPr>
        <w:pBdr>
          <w:top w:color="auto" w:space="0" w:sz="0" w:val="none"/>
          <w:left w:color="auto" w:space="0" w:sz="0" w:val="none"/>
          <w:bottom w:color="auto" w:space="0" w:sz="0" w:val="none"/>
          <w:right w:color="auto" w:space="0" w:sz="0" w:val="none"/>
          <w:between w:color="auto" w:space="0" w:sz="0" w:val="none"/>
        </w:pBdr>
        <w:spacing w:after="280" w:line="392.72727272727275" w:lineRule="auto"/>
        <w:rPr>
          <w:rFonts w:ascii="Cambria" w:cs="Cambria" w:eastAsia="Cambria" w:hAnsi="Cambria"/>
          <w:i w:val="1"/>
        </w:rPr>
      </w:pPr>
      <w:r w:rsidDel="00000000" w:rsidR="00000000" w:rsidRPr="00000000">
        <w:rPr>
          <w:rFonts w:ascii="Cambria" w:cs="Cambria" w:eastAsia="Cambria" w:hAnsi="Cambria"/>
          <w:i w:val="1"/>
          <w:rtl w:val="0"/>
        </w:rPr>
        <w:t xml:space="preserve">Self-Certification</w:t>
      </w:r>
    </w:p>
    <w:p w:rsidR="00000000" w:rsidDel="00000000" w:rsidP="00000000" w:rsidRDefault="00000000" w:rsidRPr="00000000" w14:paraId="00000087">
      <w:pPr>
        <w:pBdr>
          <w:top w:color="auto" w:space="0" w:sz="0" w:val="none"/>
          <w:left w:color="auto" w:space="0" w:sz="0" w:val="none"/>
          <w:bottom w:color="auto" w:space="0" w:sz="0" w:val="none"/>
          <w:right w:color="auto" w:space="0" w:sz="0" w:val="none"/>
          <w:between w:color="auto" w:space="0" w:sz="0" w:val="none"/>
        </w:pBdr>
        <w:spacing w:after="280" w:line="392.72727272727275" w:lineRule="auto"/>
        <w:rPr>
          <w:rFonts w:ascii="Cambria" w:cs="Cambria" w:eastAsia="Cambria" w:hAnsi="Cambria"/>
          <w:b w:val="1"/>
        </w:rPr>
      </w:pPr>
      <w:r w:rsidDel="00000000" w:rsidR="00000000" w:rsidRPr="00000000">
        <w:rPr>
          <w:rFonts w:ascii="Cambria" w:cs="Cambria" w:eastAsia="Cambria" w:hAnsi="Cambria"/>
          <w:rtl w:val="0"/>
        </w:rPr>
        <w:t xml:space="preserve">As part of the requirements of CMEA, an annual self-certification is required for all regulated sellers of SLCPs. A regulated seller must not sell SLCPs unless it has self-certified with the DEA.</w:t>
      </w:r>
      <w:r w:rsidDel="00000000" w:rsidR="00000000" w:rsidRPr="00000000">
        <w:rPr>
          <w:rtl w:val="0"/>
        </w:rPr>
      </w:r>
    </w:p>
    <w:p w:rsidR="00000000" w:rsidDel="00000000" w:rsidP="00000000" w:rsidRDefault="00000000" w:rsidRPr="00000000" w14:paraId="00000088">
      <w:pPr>
        <w:pBdr>
          <w:top w:color="auto" w:space="0" w:sz="0" w:val="none"/>
          <w:left w:color="auto" w:space="0" w:sz="0" w:val="none"/>
          <w:bottom w:color="auto" w:space="0" w:sz="0" w:val="none"/>
          <w:right w:color="auto" w:space="0" w:sz="0" w:val="none"/>
          <w:between w:color="auto" w:space="0" w:sz="0" w:val="none"/>
        </w:pBdr>
        <w:spacing w:after="280" w:line="392.72727272727275" w:lineRule="auto"/>
        <w:ind w:left="0" w:firstLine="0"/>
        <w:rPr>
          <w:rFonts w:ascii="Cambria" w:cs="Cambria" w:eastAsia="Cambria" w:hAnsi="Cambria"/>
          <w:b w:val="1"/>
        </w:rPr>
      </w:pPr>
      <w:r w:rsidDel="00000000" w:rsidR="00000000" w:rsidRPr="00000000">
        <w:rPr>
          <w:rFonts w:ascii="Cambria" w:cs="Cambria" w:eastAsia="Cambria" w:hAnsi="Cambria"/>
          <w:b w:val="1"/>
          <w:rtl w:val="0"/>
        </w:rPr>
        <w:t xml:space="preserve">Food drugs and cosmetics act </w:t>
      </w:r>
    </w:p>
    <w:p w:rsidR="00000000" w:rsidDel="00000000" w:rsidP="00000000" w:rsidRDefault="00000000" w:rsidRPr="00000000" w14:paraId="00000089">
      <w:pPr>
        <w:pBdr>
          <w:top w:color="auto" w:space="0" w:sz="0" w:val="none"/>
          <w:left w:color="auto" w:space="0" w:sz="0" w:val="none"/>
          <w:bottom w:color="auto" w:space="0" w:sz="0" w:val="none"/>
          <w:right w:color="auto" w:space="0" w:sz="0" w:val="none"/>
          <w:between w:color="auto" w:space="0" w:sz="0" w:val="none"/>
        </w:pBdr>
        <w:spacing w:after="280" w:line="392.72727272727275" w:lineRule="auto"/>
        <w:rPr>
          <w:rFonts w:ascii="Cambria" w:cs="Cambria" w:eastAsia="Cambria" w:hAnsi="Cambria"/>
        </w:rPr>
      </w:pPr>
      <w:r w:rsidDel="00000000" w:rsidR="00000000" w:rsidRPr="00000000">
        <w:rPr>
          <w:rFonts w:ascii="Cambria" w:cs="Cambria" w:eastAsia="Cambria" w:hAnsi="Cambria"/>
          <w:rtl w:val="0"/>
        </w:rPr>
        <w:t xml:space="preserve">The Food and Drug Administration (“FDA”) oversees the federal Food, Drug, and Cosmetics Act (“FDCA”),</w:t>
      </w:r>
      <w:hyperlink r:id="rId13">
        <w:r w:rsidDel="00000000" w:rsidR="00000000" w:rsidRPr="00000000">
          <w:rPr>
            <w:rFonts w:ascii="Cambria" w:cs="Cambria" w:eastAsia="Cambria" w:hAnsi="Cambria"/>
            <w:rtl w:val="0"/>
          </w:rPr>
          <w:t xml:space="preserve">17</w:t>
        </w:r>
      </w:hyperlink>
      <w:r w:rsidDel="00000000" w:rsidR="00000000" w:rsidRPr="00000000">
        <w:rPr>
          <w:rFonts w:ascii="Cambria" w:cs="Cambria" w:eastAsia="Cambria" w:hAnsi="Cambria"/>
          <w:rtl w:val="0"/>
        </w:rPr>
        <w:t xml:space="preserve"> and is responsible for regulating all aspects of the manufacturing and, to a lesser extent, wholesale distribution of both prescription and non-prescription drugs.</w:t>
      </w:r>
    </w:p>
    <w:p w:rsidR="00000000" w:rsidDel="00000000" w:rsidP="00000000" w:rsidRDefault="00000000" w:rsidRPr="00000000" w14:paraId="0000008A">
      <w:pPr>
        <w:numPr>
          <w:ilvl w:val="0"/>
          <w:numId w:val="10"/>
        </w:numPr>
        <w:pBdr>
          <w:top w:color="auto" w:space="0" w:sz="0" w:val="none"/>
          <w:left w:color="auto" w:space="0" w:sz="0" w:val="none"/>
          <w:bottom w:color="auto" w:space="0" w:sz="0" w:val="none"/>
          <w:right w:color="auto" w:space="0" w:sz="0" w:val="none"/>
          <w:between w:color="auto" w:space="0" w:sz="0" w:val="none"/>
        </w:pBdr>
        <w:spacing w:after="240" w:line="392.72727272727275" w:lineRule="auto"/>
        <w:ind w:left="720" w:hanging="360"/>
        <w:rPr>
          <w:color w:val="000000"/>
          <w:sz w:val="22"/>
          <w:szCs w:val="22"/>
        </w:rPr>
      </w:pPr>
      <w:r w:rsidDel="00000000" w:rsidR="00000000" w:rsidRPr="00000000">
        <w:rPr>
          <w:rFonts w:ascii="Cambria" w:cs="Cambria" w:eastAsia="Cambria" w:hAnsi="Cambria"/>
          <w:rtl w:val="0"/>
        </w:rPr>
        <w:t xml:space="preserve">Registration Requirement</w:t>
        <w:br w:type="textWrapping"/>
      </w:r>
      <w:r w:rsidDel="00000000" w:rsidR="00000000" w:rsidRPr="00000000">
        <w:rPr>
          <w:rFonts w:ascii="Cambria" w:cs="Cambria" w:eastAsia="Cambria" w:hAnsi="Cambria"/>
          <w:b w:val="1"/>
          <w:rtl w:val="0"/>
        </w:rPr>
        <w:t xml:space="preserve">All drug manufacturers and repackagers are required to register with FDA. If they fail to register, their products are deemed to be “misbranded.”</w:t>
      </w:r>
    </w:p>
    <w:p w:rsidR="00000000" w:rsidDel="00000000" w:rsidP="00000000" w:rsidRDefault="00000000" w:rsidRPr="00000000" w14:paraId="0000008B">
      <w:pPr>
        <w:pBdr>
          <w:top w:color="auto" w:space="0" w:sz="0" w:val="none"/>
          <w:left w:color="auto" w:space="0" w:sz="0" w:val="none"/>
          <w:bottom w:color="auto" w:space="0" w:sz="0" w:val="none"/>
          <w:right w:color="auto" w:space="0" w:sz="0" w:val="none"/>
          <w:between w:color="auto" w:space="0" w:sz="0" w:val="none"/>
        </w:pBdr>
        <w:spacing w:after="280" w:line="392.72727272727275" w:lineRule="auto"/>
        <w:rPr>
          <w:rFonts w:ascii="Cambria" w:cs="Cambria" w:eastAsia="Cambria" w:hAnsi="Cambria"/>
        </w:rPr>
      </w:pPr>
      <w:r w:rsidDel="00000000" w:rsidR="00000000" w:rsidRPr="00000000">
        <w:rPr>
          <w:rFonts w:ascii="Cambria" w:cs="Cambria" w:eastAsia="Cambria" w:hAnsi="Cambria"/>
          <w:rtl w:val="0"/>
        </w:rPr>
        <w:t xml:space="preserve">FDA focuses on regulating manufacturers of food, drugs, and cosmetics and does not regulate the practice of medicine or the practice of pharmacy.</w:t>
      </w:r>
    </w:p>
    <w:p w:rsidR="00000000" w:rsidDel="00000000" w:rsidP="00000000" w:rsidRDefault="00000000" w:rsidRPr="00000000" w14:paraId="0000008C">
      <w:pPr>
        <w:numPr>
          <w:ilvl w:val="0"/>
          <w:numId w:val="6"/>
        </w:numPr>
        <w:pBdr>
          <w:top w:color="auto" w:space="0" w:sz="0" w:val="none"/>
          <w:left w:color="auto" w:space="0" w:sz="0" w:val="none"/>
          <w:bottom w:color="auto" w:space="0" w:sz="0" w:val="none"/>
          <w:right w:color="auto" w:space="0" w:sz="0" w:val="none"/>
          <w:between w:color="auto" w:space="0" w:sz="0" w:val="none"/>
        </w:pBdr>
        <w:spacing w:after="280" w:line="392.72727272727275" w:lineRule="auto"/>
        <w:ind w:left="720" w:hanging="360"/>
        <w:rPr>
          <w:rFonts w:ascii="Cambria" w:cs="Cambria" w:eastAsia="Cambria" w:hAnsi="Cambria"/>
        </w:rPr>
      </w:pPr>
      <w:r w:rsidDel="00000000" w:rsidR="00000000" w:rsidRPr="00000000">
        <w:rPr>
          <w:rFonts w:ascii="Cambria" w:cs="Cambria" w:eastAsia="Cambria" w:hAnsi="Cambria"/>
          <w:rtl w:val="0"/>
        </w:rPr>
        <w:t xml:space="preserve">Pharmacy exemption</w:t>
      </w:r>
    </w:p>
    <w:p w:rsidR="00000000" w:rsidDel="00000000" w:rsidP="00000000" w:rsidRDefault="00000000" w:rsidRPr="00000000" w14:paraId="0000008D">
      <w:pPr>
        <w:pBdr>
          <w:top w:color="auto" w:space="0" w:sz="0" w:val="none"/>
          <w:left w:color="auto" w:space="0" w:sz="0" w:val="none"/>
          <w:bottom w:color="auto" w:space="0" w:sz="0" w:val="none"/>
          <w:right w:color="auto" w:space="0" w:sz="0" w:val="none"/>
          <w:between w:color="auto" w:space="0" w:sz="0" w:val="none"/>
        </w:pBdr>
        <w:spacing w:after="280" w:line="392.72727272727275" w:lineRule="auto"/>
        <w:ind w:left="0" w:firstLine="0"/>
        <w:rPr>
          <w:rFonts w:ascii="Cambria" w:cs="Cambria" w:eastAsia="Cambria" w:hAnsi="Cambria"/>
        </w:rPr>
      </w:pPr>
      <w:r w:rsidDel="00000000" w:rsidR="00000000" w:rsidRPr="00000000">
        <w:rPr>
          <w:rFonts w:ascii="Cambria" w:cs="Cambria" w:eastAsia="Cambria" w:hAnsi="Cambria"/>
          <w:rtl w:val="0"/>
        </w:rPr>
        <w:t xml:space="preserve">Pharmacies are directly impacted by the FDCA when they act like manufacturers: (1) when a pharmacy’s compounding activities cross the line, and they are viewed as manufacturing a new drug, as opposed to compounding and dispensing pursuant to a prescription, and (2) when a pharmacy violates the FDCA prohibition against marketing/selling a drug product that is “misbranded” or “adulterated.”</w:t>
      </w:r>
    </w:p>
    <w:p w:rsidR="00000000" w:rsidDel="00000000" w:rsidP="00000000" w:rsidRDefault="00000000" w:rsidRPr="00000000" w14:paraId="0000008E">
      <w:pPr>
        <w:pBdr>
          <w:top w:color="auto" w:space="0" w:sz="0" w:val="none"/>
          <w:left w:color="auto" w:space="0" w:sz="0" w:val="none"/>
          <w:bottom w:color="auto" w:space="0" w:sz="0" w:val="none"/>
          <w:right w:color="auto" w:space="0" w:sz="0" w:val="none"/>
          <w:between w:color="auto" w:space="0" w:sz="0" w:val="none"/>
        </w:pBdr>
        <w:spacing w:after="280" w:line="392.72727272727275" w:lineRule="auto"/>
        <w:ind w:left="0" w:firstLine="0"/>
        <w:rPr>
          <w:rFonts w:ascii="Cambria" w:cs="Cambria" w:eastAsia="Cambria" w:hAnsi="Cambria"/>
        </w:rPr>
      </w:pPr>
      <w:r w:rsidDel="00000000" w:rsidR="00000000" w:rsidRPr="00000000">
        <w:rPr>
          <w:rFonts w:ascii="Cambria" w:cs="Cambria" w:eastAsia="Cambria" w:hAnsi="Cambria"/>
          <w:rtl w:val="0"/>
        </w:rPr>
        <w:t xml:space="preserve">Phase 4 - postmarketing surveillance </w:t>
      </w:r>
    </w:p>
    <w:p w:rsidR="00000000" w:rsidDel="00000000" w:rsidP="00000000" w:rsidRDefault="00000000" w:rsidRPr="00000000" w14:paraId="0000008F">
      <w:pPr>
        <w:pBdr>
          <w:top w:color="auto" w:space="0" w:sz="0" w:val="none"/>
          <w:left w:color="auto" w:space="0" w:sz="0" w:val="none"/>
          <w:bottom w:color="auto" w:space="0" w:sz="0" w:val="none"/>
          <w:right w:color="auto" w:space="0" w:sz="0" w:val="none"/>
          <w:between w:color="auto" w:space="0" w:sz="0" w:val="none"/>
        </w:pBdr>
        <w:spacing w:after="280" w:line="392.72727272727275" w:lineRule="auto"/>
        <w:rPr>
          <w:rFonts w:ascii="Cambria" w:cs="Cambria" w:eastAsia="Cambria" w:hAnsi="Cambria"/>
        </w:rPr>
      </w:pPr>
      <w:r w:rsidDel="00000000" w:rsidR="00000000" w:rsidRPr="00000000">
        <w:rPr>
          <w:rFonts w:ascii="Cambria" w:cs="Cambria" w:eastAsia="Cambria" w:hAnsi="Cambria"/>
          <w:rtl w:val="0"/>
        </w:rPr>
        <w:t xml:space="preserve">Manufacturers are required to monitor use of drug for additional information regarding safety and effectiveness.</w:t>
      </w:r>
    </w:p>
    <w:p w:rsidR="00000000" w:rsidDel="00000000" w:rsidP="00000000" w:rsidRDefault="00000000" w:rsidRPr="00000000" w14:paraId="00000090">
      <w:pPr>
        <w:numPr>
          <w:ilvl w:val="0"/>
          <w:numId w:val="28"/>
        </w:numPr>
        <w:pBdr>
          <w:top w:color="auto" w:space="0" w:sz="0" w:val="none"/>
          <w:left w:color="auto" w:space="0" w:sz="0" w:val="none"/>
          <w:bottom w:color="auto" w:space="0" w:sz="0" w:val="none"/>
          <w:right w:color="auto" w:space="0" w:sz="0" w:val="none"/>
          <w:between w:color="auto" w:space="0" w:sz="0" w:val="none"/>
        </w:pBdr>
        <w:spacing w:after="0" w:afterAutospacing="0" w:line="392.72727272727275" w:lineRule="auto"/>
        <w:ind w:left="720" w:hanging="360"/>
        <w:rPr>
          <w:color w:val="000000"/>
          <w:sz w:val="22"/>
          <w:szCs w:val="22"/>
        </w:rPr>
      </w:pPr>
      <w:r w:rsidDel="00000000" w:rsidR="00000000" w:rsidRPr="00000000">
        <w:rPr>
          <w:rFonts w:ascii="Cambria" w:cs="Cambria" w:eastAsia="Cambria" w:hAnsi="Cambria"/>
          <w:rtl w:val="0"/>
        </w:rPr>
        <w:t xml:space="preserve">Manufacturer collects data and </w:t>
      </w:r>
      <w:r w:rsidDel="00000000" w:rsidR="00000000" w:rsidRPr="00000000">
        <w:rPr>
          <w:rFonts w:ascii="Cambria" w:cs="Cambria" w:eastAsia="Cambria" w:hAnsi="Cambria"/>
          <w:b w:val="1"/>
          <w:rtl w:val="0"/>
        </w:rPr>
        <w:t xml:space="preserve">submits yearly reports to FDA.</w:t>
      </w:r>
    </w:p>
    <w:p w:rsidR="00000000" w:rsidDel="00000000" w:rsidP="00000000" w:rsidRDefault="00000000" w:rsidRPr="00000000" w14:paraId="00000091">
      <w:pPr>
        <w:numPr>
          <w:ilvl w:val="0"/>
          <w:numId w:val="28"/>
        </w:numPr>
        <w:pBdr>
          <w:top w:color="auto" w:space="0" w:sz="0" w:val="none"/>
          <w:left w:color="auto" w:space="0" w:sz="0" w:val="none"/>
          <w:bottom w:color="auto" w:space="0" w:sz="0" w:val="none"/>
          <w:right w:color="auto" w:space="0" w:sz="0" w:val="none"/>
          <w:between w:color="auto" w:space="0" w:sz="0" w:val="none"/>
        </w:pBdr>
        <w:spacing w:after="24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MedWatch Program—FDA provides a mechanism for reporting of adverse effects by health care practitioners to FDA or the manufacturer. Reporting is purely voluntary, but reports received by the manufacturer of adverse event information (via MedWatch or in any other form), manufacturer must report them to FDA, even if manufacturer disagrees that report evidences an adverse event.</w:t>
      </w:r>
    </w:p>
    <w:p w:rsidR="00000000" w:rsidDel="00000000" w:rsidP="00000000" w:rsidRDefault="00000000" w:rsidRPr="00000000" w14:paraId="00000092">
      <w:pPr>
        <w:pBdr>
          <w:top w:color="auto" w:space="0" w:sz="0" w:val="none"/>
          <w:left w:color="auto" w:space="0" w:sz="0" w:val="none"/>
          <w:bottom w:color="auto" w:space="0" w:sz="0" w:val="none"/>
          <w:right w:color="auto" w:space="0" w:sz="0" w:val="none"/>
          <w:between w:color="auto" w:space="0" w:sz="0" w:val="none"/>
        </w:pBdr>
        <w:spacing w:after="280" w:line="392.72727272727275" w:lineRule="auto"/>
        <w:rPr>
          <w:rFonts w:ascii="Cambria" w:cs="Cambria" w:eastAsia="Cambria" w:hAnsi="Cambria"/>
        </w:rPr>
      </w:pPr>
      <w:r w:rsidDel="00000000" w:rsidR="00000000" w:rsidRPr="00000000">
        <w:rPr>
          <w:rFonts w:ascii="Cambria" w:cs="Cambria" w:eastAsia="Cambria" w:hAnsi="Cambria"/>
          <w:rtl w:val="0"/>
        </w:rPr>
        <w:t xml:space="preserve">Supplemental New Drug Application (“SNDA”)</w:t>
      </w:r>
      <w:hyperlink r:id="rId14">
        <w:r w:rsidDel="00000000" w:rsidR="00000000" w:rsidRPr="00000000">
          <w:rPr>
            <w:rFonts w:ascii="Cambria" w:cs="Cambria" w:eastAsia="Cambria" w:hAnsi="Cambria"/>
            <w:rtl w:val="0"/>
          </w:rPr>
          <w:t xml:space="preserve">20</w:t>
        </w:r>
      </w:hyperlink>
      <w:r w:rsidDel="00000000" w:rsidR="00000000" w:rsidRPr="00000000">
        <w:rPr>
          <w:rtl w:val="0"/>
        </w:rPr>
      </w:r>
    </w:p>
    <w:p w:rsidR="00000000" w:rsidDel="00000000" w:rsidP="00000000" w:rsidRDefault="00000000" w:rsidRPr="00000000" w14:paraId="00000093">
      <w:pPr>
        <w:numPr>
          <w:ilvl w:val="0"/>
          <w:numId w:val="32"/>
        </w:numPr>
        <w:pBdr>
          <w:top w:color="auto" w:space="0" w:sz="0" w:val="none"/>
          <w:left w:color="auto" w:space="0" w:sz="0" w:val="none"/>
          <w:bottom w:color="auto" w:space="0" w:sz="0" w:val="none"/>
          <w:right w:color="auto" w:space="0" w:sz="0" w:val="none"/>
          <w:between w:color="auto" w:space="0" w:sz="0" w:val="none"/>
        </w:pBdr>
        <w:spacing w:after="0" w:afterAutospacing="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Any changes in the information reviewed and approved by FDA in the NDA or ANDA must be submitted to FDA in an SNDA.</w:t>
      </w:r>
    </w:p>
    <w:p w:rsidR="00000000" w:rsidDel="00000000" w:rsidP="00000000" w:rsidRDefault="00000000" w:rsidRPr="00000000" w14:paraId="00000094">
      <w:pPr>
        <w:numPr>
          <w:ilvl w:val="0"/>
          <w:numId w:val="32"/>
        </w:numPr>
        <w:pBdr>
          <w:top w:color="auto" w:space="0" w:sz="0" w:val="none"/>
          <w:left w:color="auto" w:space="0" w:sz="0" w:val="none"/>
          <w:bottom w:color="auto" w:space="0" w:sz="0" w:val="none"/>
          <w:right w:color="auto" w:space="0" w:sz="0" w:val="none"/>
          <w:between w:color="auto" w:space="0" w:sz="0" w:val="none"/>
        </w:pBdr>
        <w:spacing w:after="240" w:line="392.72727272727275" w:lineRule="auto"/>
        <w:ind w:left="720" w:hanging="360"/>
        <w:rPr>
          <w:color w:val="000000"/>
          <w:sz w:val="22"/>
          <w:szCs w:val="22"/>
        </w:rPr>
      </w:pPr>
      <w:r w:rsidDel="00000000" w:rsidR="00000000" w:rsidRPr="00000000">
        <w:rPr>
          <w:rFonts w:ascii="Cambria" w:cs="Cambria" w:eastAsia="Cambria" w:hAnsi="Cambria"/>
          <w:rtl w:val="0"/>
        </w:rPr>
        <w:t xml:space="preserve">Includes, without limitation, </w:t>
      </w:r>
      <w:r w:rsidDel="00000000" w:rsidR="00000000" w:rsidRPr="00000000">
        <w:rPr>
          <w:rFonts w:ascii="Cambria" w:cs="Cambria" w:eastAsia="Cambria" w:hAnsi="Cambria"/>
          <w:b w:val="1"/>
          <w:rtl w:val="0"/>
        </w:rPr>
        <w:t xml:space="preserve">approved manufacturing processes, production procedures, manufacturing locations, packaging, labeling, indications, </w:t>
      </w:r>
      <w:r w:rsidDel="00000000" w:rsidR="00000000" w:rsidRPr="00000000">
        <w:rPr>
          <w:rFonts w:ascii="Cambria" w:cs="Cambria" w:eastAsia="Cambria" w:hAnsi="Cambria"/>
          <w:rtl w:val="0"/>
        </w:rPr>
        <w:t xml:space="preserve">and any other changes to the manufacturing of the drug product.</w:t>
      </w:r>
    </w:p>
    <w:p w:rsidR="00000000" w:rsidDel="00000000" w:rsidP="00000000" w:rsidRDefault="00000000" w:rsidRPr="00000000" w14:paraId="00000095">
      <w:pPr>
        <w:pBdr>
          <w:top w:color="auto" w:space="0" w:sz="0" w:val="none"/>
          <w:left w:color="auto" w:space="0" w:sz="0" w:val="none"/>
          <w:bottom w:color="auto" w:space="0" w:sz="0" w:val="none"/>
          <w:right w:color="auto" w:space="0" w:sz="0" w:val="none"/>
          <w:between w:color="auto" w:space="0" w:sz="0" w:val="none"/>
        </w:pBdr>
        <w:spacing w:after="280" w:line="392.72727272727275" w:lineRule="auto"/>
        <w:rPr>
          <w:rFonts w:ascii="Cambria" w:cs="Cambria" w:eastAsia="Cambria" w:hAnsi="Cambria"/>
        </w:rPr>
      </w:pPr>
      <w:r w:rsidDel="00000000" w:rsidR="00000000" w:rsidRPr="00000000">
        <w:rPr>
          <w:rFonts w:ascii="Cambria" w:cs="Cambria" w:eastAsia="Cambria" w:hAnsi="Cambria"/>
          <w:rtl w:val="0"/>
        </w:rPr>
        <w:t xml:space="preserve">Treatment IND</w:t>
      </w:r>
    </w:p>
    <w:p w:rsidR="00000000" w:rsidDel="00000000" w:rsidP="00000000" w:rsidRDefault="00000000" w:rsidRPr="00000000" w14:paraId="00000096">
      <w:pPr>
        <w:numPr>
          <w:ilvl w:val="0"/>
          <w:numId w:val="29"/>
        </w:numPr>
        <w:pBdr>
          <w:top w:color="auto" w:space="0" w:sz="0" w:val="none"/>
          <w:left w:color="auto" w:space="0" w:sz="0" w:val="none"/>
          <w:bottom w:color="auto" w:space="0" w:sz="0" w:val="none"/>
          <w:right w:color="auto" w:space="0" w:sz="0" w:val="none"/>
          <w:between w:color="auto" w:space="0" w:sz="0" w:val="none"/>
        </w:pBdr>
        <w:spacing w:after="0" w:afterAutospacing="0" w:line="392.72727272727275" w:lineRule="auto"/>
        <w:ind w:left="720" w:hanging="360"/>
        <w:rPr>
          <w:color w:val="000000"/>
          <w:sz w:val="22"/>
          <w:szCs w:val="22"/>
        </w:rPr>
      </w:pPr>
      <w:r w:rsidDel="00000000" w:rsidR="00000000" w:rsidRPr="00000000">
        <w:rPr>
          <w:rFonts w:ascii="Cambria" w:cs="Cambria" w:eastAsia="Cambria" w:hAnsi="Cambria"/>
          <w:rtl w:val="0"/>
        </w:rPr>
        <w:t xml:space="preserve">If a drug in </w:t>
      </w:r>
      <w:r w:rsidDel="00000000" w:rsidR="00000000" w:rsidRPr="00000000">
        <w:rPr>
          <w:rFonts w:ascii="Cambria" w:cs="Cambria" w:eastAsia="Cambria" w:hAnsi="Cambria"/>
          <w:b w:val="1"/>
          <w:rtl w:val="0"/>
        </w:rPr>
        <w:t xml:space="preserve">phase 2 or 3 clinical trials </w:t>
      </w:r>
      <w:r w:rsidDel="00000000" w:rsidR="00000000" w:rsidRPr="00000000">
        <w:rPr>
          <w:rFonts w:ascii="Cambria" w:cs="Cambria" w:eastAsia="Cambria" w:hAnsi="Cambria"/>
          <w:rtl w:val="0"/>
        </w:rPr>
        <w:t xml:space="preserve">(see Step 3, above) shows some evidence of safety and effectiveness, the drug can be administered to patients upon approval by FDA of an application for investigational use by the patient’s physician.</w:t>
      </w:r>
    </w:p>
    <w:p w:rsidR="00000000" w:rsidDel="00000000" w:rsidP="00000000" w:rsidRDefault="00000000" w:rsidRPr="00000000" w14:paraId="00000097">
      <w:pPr>
        <w:numPr>
          <w:ilvl w:val="0"/>
          <w:numId w:val="29"/>
        </w:numPr>
        <w:pBdr>
          <w:top w:color="auto" w:space="0" w:sz="0" w:val="none"/>
          <w:left w:color="auto" w:space="0" w:sz="0" w:val="none"/>
          <w:bottom w:color="auto" w:space="0" w:sz="0" w:val="none"/>
          <w:right w:color="auto" w:space="0" w:sz="0" w:val="none"/>
          <w:between w:color="auto" w:space="0" w:sz="0" w:val="none"/>
        </w:pBdr>
        <w:spacing w:after="24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To be eligible to receive the investigational drug, the patient (1) must not have been enrolled in the drug’s clinical trials; (2) must be in an imminent life-threatening stage of an illness that has no cure and for which the IND has shown clinical promise; and (3) must either have tried and failed on any commercially available drug used to treat the disease, or there must be no presently commercially available drug that is approved for and shown efficacy for treating the disease.</w:t>
      </w:r>
    </w:p>
    <w:p w:rsidR="00000000" w:rsidDel="00000000" w:rsidP="00000000" w:rsidRDefault="00000000" w:rsidRPr="00000000" w14:paraId="00000098">
      <w:pPr>
        <w:pBdr>
          <w:top w:color="auto" w:space="0" w:sz="0" w:val="none"/>
          <w:left w:color="auto" w:space="0" w:sz="0" w:val="none"/>
          <w:bottom w:color="auto" w:space="0" w:sz="0" w:val="none"/>
          <w:right w:color="auto" w:space="0" w:sz="0" w:val="none"/>
          <w:between w:color="auto" w:space="0" w:sz="0" w:val="none"/>
        </w:pBdr>
        <w:spacing w:after="240" w:line="392.72727272727275" w:lineRule="auto"/>
        <w:rPr>
          <w:rFonts w:ascii="Cambria" w:cs="Cambria" w:eastAsia="Cambria" w:hAnsi="Cambria"/>
        </w:rPr>
      </w:pPr>
      <w:r w:rsidDel="00000000" w:rsidR="00000000" w:rsidRPr="00000000">
        <w:rPr>
          <w:rFonts w:ascii="Cambria" w:cs="Cambria" w:eastAsia="Cambria" w:hAnsi="Cambria"/>
          <w:rtl w:val="0"/>
        </w:rPr>
        <w:t xml:space="preserve">Prescription Drugs </w:t>
      </w:r>
    </w:p>
    <w:p w:rsidR="00000000" w:rsidDel="00000000" w:rsidP="00000000" w:rsidRDefault="00000000" w:rsidRPr="00000000" w14:paraId="00000099">
      <w:pPr>
        <w:numPr>
          <w:ilvl w:val="0"/>
          <w:numId w:val="33"/>
        </w:numPr>
        <w:pBdr>
          <w:top w:color="auto" w:space="0" w:sz="0" w:val="none"/>
          <w:left w:color="auto" w:space="0" w:sz="0" w:val="none"/>
          <w:bottom w:color="auto" w:space="0" w:sz="0" w:val="none"/>
          <w:right w:color="auto" w:space="0" w:sz="0" w:val="none"/>
          <w:between w:color="auto" w:space="0" w:sz="0" w:val="none"/>
        </w:pBdr>
        <w:spacing w:after="0" w:afterAutospacing="0" w:line="392.72727272727275" w:lineRule="auto"/>
        <w:ind w:left="720" w:hanging="360"/>
        <w:rPr>
          <w:rFonts w:ascii="Cambria" w:cs="Cambria" w:eastAsia="Cambria" w:hAnsi="Cambria"/>
          <w:b w:val="1"/>
        </w:rPr>
      </w:pPr>
      <w:r w:rsidDel="00000000" w:rsidR="00000000" w:rsidRPr="00000000">
        <w:rPr>
          <w:rFonts w:ascii="Cambria" w:cs="Cambria" w:eastAsia="Cambria" w:hAnsi="Cambria"/>
          <w:b w:val="1"/>
          <w:rtl w:val="0"/>
        </w:rPr>
        <w:t xml:space="preserve">Prescription or legend drugs are exempt from requirement that it contain adequate directions for use or be considered misbranded</w:t>
      </w:r>
    </w:p>
    <w:p w:rsidR="00000000" w:rsidDel="00000000" w:rsidP="00000000" w:rsidRDefault="00000000" w:rsidRPr="00000000" w14:paraId="0000009A">
      <w:pPr>
        <w:numPr>
          <w:ilvl w:val="0"/>
          <w:numId w:val="33"/>
        </w:numPr>
        <w:pBdr>
          <w:top w:color="auto" w:space="0" w:sz="0" w:val="none"/>
          <w:left w:color="auto" w:space="0" w:sz="0" w:val="none"/>
          <w:bottom w:color="auto" w:space="0" w:sz="0" w:val="none"/>
          <w:right w:color="auto" w:space="0" w:sz="0" w:val="none"/>
          <w:between w:color="auto" w:space="0" w:sz="0" w:val="none"/>
        </w:pBdr>
        <w:spacing w:after="280" w:line="392.72727272727275" w:lineRule="auto"/>
        <w:ind w:left="720" w:hanging="360"/>
        <w:rPr>
          <w:rFonts w:ascii="Cambria" w:cs="Cambria" w:eastAsia="Cambria" w:hAnsi="Cambria"/>
          <w:b w:val="1"/>
        </w:rPr>
      </w:pPr>
      <w:r w:rsidDel="00000000" w:rsidR="00000000" w:rsidRPr="00000000">
        <w:rPr>
          <w:rFonts w:ascii="Cambria" w:cs="Cambria" w:eastAsia="Cambria" w:hAnsi="Cambria"/>
          <w:b w:val="1"/>
          <w:rtl w:val="0"/>
        </w:rPr>
        <w:t xml:space="preserve">Label must contain “legend” stating: “Caution: Federal law prohibits dispensing without a prescription.” (Hence the name is “legend drugs”.) (Now: “Rx Only.”)</w:t>
      </w:r>
    </w:p>
    <w:p w:rsidR="00000000" w:rsidDel="00000000" w:rsidP="00000000" w:rsidRDefault="00000000" w:rsidRPr="00000000" w14:paraId="0000009B">
      <w:pPr>
        <w:pBdr>
          <w:top w:color="auto" w:space="0" w:sz="0" w:val="none"/>
          <w:left w:color="auto" w:space="0" w:sz="0" w:val="none"/>
          <w:bottom w:color="auto" w:space="0" w:sz="0" w:val="none"/>
          <w:right w:color="auto" w:space="0" w:sz="0" w:val="none"/>
          <w:between w:color="auto" w:space="0" w:sz="0" w:val="none"/>
        </w:pBdr>
        <w:spacing w:after="280" w:line="392.72727272727275" w:lineRule="auto"/>
        <w:rPr>
          <w:rFonts w:ascii="Cambria" w:cs="Cambria" w:eastAsia="Cambria" w:hAnsi="Cambria"/>
        </w:rPr>
      </w:pPr>
      <w:r w:rsidDel="00000000" w:rsidR="00000000" w:rsidRPr="00000000">
        <w:rPr>
          <w:rFonts w:ascii="Cambria" w:cs="Cambria" w:eastAsia="Cambria" w:hAnsi="Cambria"/>
          <w:rtl w:val="0"/>
        </w:rPr>
        <w:t xml:space="preserve">OTC</w:t>
      </w:r>
    </w:p>
    <w:p w:rsidR="00000000" w:rsidDel="00000000" w:rsidP="00000000" w:rsidRDefault="00000000" w:rsidRPr="00000000" w14:paraId="0000009C">
      <w:pPr>
        <w:numPr>
          <w:ilvl w:val="0"/>
          <w:numId w:val="14"/>
        </w:numPr>
        <w:pBdr>
          <w:top w:color="auto" w:space="0" w:sz="0" w:val="none"/>
          <w:left w:color="auto" w:space="0" w:sz="0" w:val="none"/>
          <w:bottom w:color="auto" w:space="0" w:sz="0" w:val="none"/>
          <w:right w:color="auto" w:space="0" w:sz="0" w:val="none"/>
          <w:between w:color="auto" w:space="0" w:sz="0" w:val="none"/>
        </w:pBdr>
        <w:spacing w:after="280" w:line="392.72727272727275" w:lineRule="auto"/>
        <w:ind w:left="720" w:hanging="360"/>
        <w:rPr>
          <w:rFonts w:ascii="Cambria" w:cs="Cambria" w:eastAsia="Cambria" w:hAnsi="Cambria"/>
        </w:rPr>
      </w:pPr>
      <w:r w:rsidDel="00000000" w:rsidR="00000000" w:rsidRPr="00000000">
        <w:rPr>
          <w:rFonts w:ascii="Cambria" w:cs="Cambria" w:eastAsia="Cambria" w:hAnsi="Cambria"/>
          <w:rtl w:val="0"/>
        </w:rPr>
        <w:t xml:space="preserve">Not considered to be “misbranded” if manufactured in accordance with GMPs and labeled with instructions for laymen that indicate their safe and effective use.</w:t>
      </w:r>
      <w:r w:rsidDel="00000000" w:rsidR="00000000" w:rsidRPr="00000000">
        <w:rPr>
          <w:rtl w:val="0"/>
        </w:rPr>
      </w:r>
    </w:p>
    <w:p w:rsidR="00000000" w:rsidDel="00000000" w:rsidP="00000000" w:rsidRDefault="00000000" w:rsidRPr="00000000" w14:paraId="0000009D">
      <w:pPr>
        <w:pBdr>
          <w:top w:color="auto" w:space="0" w:sz="0" w:val="none"/>
          <w:left w:color="auto" w:space="0" w:sz="0" w:val="none"/>
          <w:bottom w:color="auto" w:space="0" w:sz="0" w:val="none"/>
          <w:right w:color="auto" w:space="0" w:sz="0" w:val="none"/>
          <w:between w:color="auto" w:space="0" w:sz="0" w:val="none"/>
        </w:pBdr>
        <w:spacing w:after="280" w:line="392.72727272727275" w:lineRule="auto"/>
        <w:ind w:left="0" w:firstLine="0"/>
        <w:rPr>
          <w:rFonts w:ascii="Cambria" w:cs="Cambria" w:eastAsia="Cambria" w:hAnsi="Cambria"/>
        </w:rPr>
      </w:pPr>
      <w:r w:rsidDel="00000000" w:rsidR="00000000" w:rsidRPr="00000000">
        <w:rPr>
          <w:rFonts w:ascii="Cambria" w:cs="Cambria" w:eastAsia="Cambria" w:hAnsi="Cambria"/>
          <w:rtl w:val="0"/>
        </w:rPr>
        <w:t xml:space="preserve">Prohibited Acts (misbranding and adulteration)</w:t>
      </w:r>
    </w:p>
    <w:p w:rsidR="00000000" w:rsidDel="00000000" w:rsidP="00000000" w:rsidRDefault="00000000" w:rsidRPr="00000000" w14:paraId="0000009E">
      <w:pPr>
        <w:pBdr>
          <w:top w:color="auto" w:space="0" w:sz="0" w:val="none"/>
          <w:left w:color="auto" w:space="0" w:sz="0" w:val="none"/>
          <w:bottom w:color="auto" w:space="0" w:sz="0" w:val="none"/>
          <w:right w:color="auto" w:space="0" w:sz="0" w:val="none"/>
          <w:between w:color="auto" w:space="0" w:sz="0" w:val="none"/>
        </w:pBdr>
        <w:spacing w:after="280" w:line="392.72727272727275" w:lineRule="auto"/>
        <w:ind w:left="0" w:firstLine="0"/>
        <w:rPr>
          <w:rFonts w:ascii="Cambria" w:cs="Cambria" w:eastAsia="Cambria" w:hAnsi="Cambria"/>
        </w:rPr>
      </w:pPr>
      <w:r w:rsidDel="00000000" w:rsidR="00000000" w:rsidRPr="00000000">
        <w:rPr>
          <w:rFonts w:ascii="Cambria" w:cs="Cambria" w:eastAsia="Cambria" w:hAnsi="Cambria"/>
          <w:rtl w:val="0"/>
        </w:rPr>
        <w:t xml:space="preserve">Misbranding</w:t>
      </w:r>
    </w:p>
    <w:p w:rsidR="00000000" w:rsidDel="00000000" w:rsidP="00000000" w:rsidRDefault="00000000" w:rsidRPr="00000000" w14:paraId="0000009F">
      <w:pPr>
        <w:pBdr>
          <w:top w:color="auto" w:space="0" w:sz="0" w:val="none"/>
          <w:left w:color="auto" w:space="0" w:sz="0" w:val="none"/>
          <w:bottom w:color="auto" w:space="0" w:sz="0" w:val="none"/>
          <w:right w:color="auto" w:space="0" w:sz="0" w:val="none"/>
          <w:between w:color="auto" w:space="0" w:sz="0" w:val="none"/>
        </w:pBdr>
        <w:spacing w:after="280" w:line="392.72727272727275" w:lineRule="auto"/>
        <w:rPr>
          <w:rFonts w:ascii="Cambria" w:cs="Cambria" w:eastAsia="Cambria" w:hAnsi="Cambria"/>
        </w:rPr>
      </w:pPr>
      <w:r w:rsidDel="00000000" w:rsidR="00000000" w:rsidRPr="00000000">
        <w:rPr>
          <w:rFonts w:ascii="Cambria" w:cs="Cambria" w:eastAsia="Cambria" w:hAnsi="Cambria"/>
          <w:rtl w:val="0"/>
        </w:rPr>
        <w:t xml:space="preserve">Drugs which are sold, dispensed, or distributed in violation of the labeling requirements of FDCA are deemed to be “misbranded.” Under federal law, a drug is misbranded under the following circumstances:</w:t>
      </w:r>
    </w:p>
    <w:p w:rsidR="00000000" w:rsidDel="00000000" w:rsidP="00000000" w:rsidRDefault="00000000" w:rsidRPr="00000000" w14:paraId="000000A0">
      <w:pPr>
        <w:numPr>
          <w:ilvl w:val="0"/>
          <w:numId w:val="22"/>
        </w:numPr>
        <w:pBdr>
          <w:top w:color="auto" w:space="0" w:sz="0" w:val="none"/>
          <w:left w:color="auto" w:space="0" w:sz="0" w:val="none"/>
          <w:bottom w:color="auto" w:space="0" w:sz="0" w:val="none"/>
          <w:right w:color="auto" w:space="0" w:sz="0" w:val="none"/>
          <w:between w:color="auto" w:space="0" w:sz="0" w:val="none"/>
        </w:pBdr>
        <w:spacing w:after="0" w:afterAutospacing="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If its labeling is false or misleading in any particular;</w:t>
      </w:r>
    </w:p>
    <w:p w:rsidR="00000000" w:rsidDel="00000000" w:rsidP="00000000" w:rsidRDefault="00000000" w:rsidRPr="00000000" w14:paraId="000000A1">
      <w:pPr>
        <w:numPr>
          <w:ilvl w:val="0"/>
          <w:numId w:val="22"/>
        </w:numPr>
        <w:pBdr>
          <w:top w:color="auto" w:space="0" w:sz="0" w:val="none"/>
          <w:left w:color="auto" w:space="0" w:sz="0" w:val="none"/>
          <w:bottom w:color="auto" w:space="0" w:sz="0" w:val="none"/>
          <w:right w:color="auto" w:space="0" w:sz="0" w:val="none"/>
          <w:between w:color="auto" w:space="0" w:sz="0" w:val="none"/>
        </w:pBdr>
        <w:spacing w:after="0" w:afterAutospacing="0" w:line="392.72727272727275" w:lineRule="auto"/>
        <w:ind w:left="720" w:hanging="360"/>
        <w:rPr>
          <w:rFonts w:ascii="Cambria" w:cs="Cambria" w:eastAsia="Cambria" w:hAnsi="Cambria"/>
          <w:b w:val="1"/>
          <w:color w:val="000000"/>
          <w:sz w:val="22"/>
          <w:szCs w:val="22"/>
        </w:rPr>
      </w:pPr>
      <w:r w:rsidDel="00000000" w:rsidR="00000000" w:rsidRPr="00000000">
        <w:rPr>
          <w:rFonts w:ascii="Cambria" w:cs="Cambria" w:eastAsia="Cambria" w:hAnsi="Cambria"/>
          <w:b w:val="1"/>
          <w:rtl w:val="0"/>
        </w:rPr>
        <w:t xml:space="preserve">If its packaging fails to identify the name and address of the manufacturer, packager, or distributor, and quantity of drug;</w:t>
      </w:r>
    </w:p>
    <w:p w:rsidR="00000000" w:rsidDel="00000000" w:rsidP="00000000" w:rsidRDefault="00000000" w:rsidRPr="00000000" w14:paraId="000000A2">
      <w:pPr>
        <w:numPr>
          <w:ilvl w:val="0"/>
          <w:numId w:val="22"/>
        </w:numPr>
        <w:pBdr>
          <w:top w:color="auto" w:space="0" w:sz="0" w:val="none"/>
          <w:left w:color="auto" w:space="0" w:sz="0" w:val="none"/>
          <w:bottom w:color="auto" w:space="0" w:sz="0" w:val="none"/>
          <w:right w:color="auto" w:space="0" w:sz="0" w:val="none"/>
          <w:between w:color="auto" w:space="0" w:sz="0" w:val="none"/>
        </w:pBdr>
        <w:spacing w:after="0" w:afterAutospacing="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If any word, statement, or other information required by law to be on the label or labeling is not prominent, conspicuous, and readable;</w:t>
      </w:r>
    </w:p>
    <w:p w:rsidR="00000000" w:rsidDel="00000000" w:rsidP="00000000" w:rsidRDefault="00000000" w:rsidRPr="00000000" w14:paraId="000000A3">
      <w:pPr>
        <w:numPr>
          <w:ilvl w:val="0"/>
          <w:numId w:val="22"/>
        </w:numPr>
        <w:pBdr>
          <w:top w:color="auto" w:space="0" w:sz="0" w:val="none"/>
          <w:left w:color="auto" w:space="0" w:sz="0" w:val="none"/>
          <w:bottom w:color="auto" w:space="0" w:sz="0" w:val="none"/>
          <w:right w:color="auto" w:space="0" w:sz="0" w:val="none"/>
          <w:between w:color="auto" w:space="0" w:sz="0" w:val="none"/>
        </w:pBdr>
        <w:spacing w:after="0" w:afterAutospacing="0" w:line="392.72727272727275" w:lineRule="auto"/>
        <w:ind w:left="720" w:hanging="360"/>
        <w:rPr>
          <w:color w:val="000000"/>
          <w:sz w:val="22"/>
          <w:szCs w:val="22"/>
        </w:rPr>
      </w:pPr>
      <w:r w:rsidDel="00000000" w:rsidR="00000000" w:rsidRPr="00000000">
        <w:rPr>
          <w:rFonts w:ascii="Cambria" w:cs="Cambria" w:eastAsia="Cambria" w:hAnsi="Cambria"/>
          <w:b w:val="1"/>
          <w:rtl w:val="0"/>
        </w:rPr>
        <w:t xml:space="preserve">If the drug contains any quantity of a habit-forming substance, and the labeling fails to identify the name and proportion of the substance and in juxtaposition thereto the phrase “Warning—May be habit forming”</w:t>
      </w:r>
      <w:r w:rsidDel="00000000" w:rsidR="00000000" w:rsidRPr="00000000">
        <w:rPr>
          <w:rFonts w:ascii="Cambria" w:cs="Cambria" w:eastAsia="Cambria" w:hAnsi="Cambria"/>
          <w:rtl w:val="0"/>
        </w:rPr>
        <w:t xml:space="preserve">;</w:t>
      </w:r>
    </w:p>
    <w:p w:rsidR="00000000" w:rsidDel="00000000" w:rsidP="00000000" w:rsidRDefault="00000000" w:rsidRPr="00000000" w14:paraId="000000A4">
      <w:pPr>
        <w:numPr>
          <w:ilvl w:val="0"/>
          <w:numId w:val="22"/>
        </w:numPr>
        <w:pBdr>
          <w:top w:color="auto" w:space="0" w:sz="0" w:val="none"/>
          <w:left w:color="auto" w:space="0" w:sz="0" w:val="none"/>
          <w:bottom w:color="auto" w:space="0" w:sz="0" w:val="none"/>
          <w:right w:color="auto" w:space="0" w:sz="0" w:val="none"/>
          <w:between w:color="auto" w:space="0" w:sz="0" w:val="none"/>
        </w:pBdr>
        <w:spacing w:after="0" w:afterAutospacing="0" w:line="392.72727272727275" w:lineRule="auto"/>
        <w:ind w:left="720" w:hanging="360"/>
        <w:rPr>
          <w:color w:val="000000"/>
          <w:sz w:val="22"/>
          <w:szCs w:val="22"/>
        </w:rPr>
      </w:pPr>
      <w:r w:rsidDel="00000000" w:rsidR="00000000" w:rsidRPr="00000000">
        <w:rPr>
          <w:rFonts w:ascii="Cambria" w:cs="Cambria" w:eastAsia="Cambria" w:hAnsi="Cambria"/>
          <w:b w:val="1"/>
          <w:rtl w:val="0"/>
        </w:rPr>
        <w:t xml:space="preserve">If either established name or, for multi-ingredient products, each active ingredient, is not identified on labe</w:t>
      </w:r>
      <w:r w:rsidDel="00000000" w:rsidR="00000000" w:rsidRPr="00000000">
        <w:rPr>
          <w:rFonts w:ascii="Cambria" w:cs="Cambria" w:eastAsia="Cambria" w:hAnsi="Cambria"/>
          <w:rtl w:val="0"/>
        </w:rPr>
        <w:t xml:space="preserve">l;</w:t>
      </w:r>
    </w:p>
    <w:p w:rsidR="00000000" w:rsidDel="00000000" w:rsidP="00000000" w:rsidRDefault="00000000" w:rsidRPr="00000000" w14:paraId="000000A5">
      <w:pPr>
        <w:numPr>
          <w:ilvl w:val="0"/>
          <w:numId w:val="22"/>
        </w:numPr>
        <w:pBdr>
          <w:top w:color="auto" w:space="0" w:sz="0" w:val="none"/>
          <w:left w:color="auto" w:space="0" w:sz="0" w:val="none"/>
          <w:bottom w:color="auto" w:space="0" w:sz="0" w:val="none"/>
          <w:right w:color="auto" w:space="0" w:sz="0" w:val="none"/>
          <w:between w:color="auto" w:space="0" w:sz="0" w:val="none"/>
        </w:pBdr>
        <w:spacing w:after="0" w:afterAutospacing="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If it fails to contain “adequate directions for use” and adequate warnings, unless exempt, or fails to contain information required by NDA;</w:t>
      </w:r>
    </w:p>
    <w:p w:rsidR="00000000" w:rsidDel="00000000" w:rsidP="00000000" w:rsidRDefault="00000000" w:rsidRPr="00000000" w14:paraId="000000A6">
      <w:pPr>
        <w:numPr>
          <w:ilvl w:val="0"/>
          <w:numId w:val="22"/>
        </w:numPr>
        <w:pBdr>
          <w:top w:color="auto" w:space="0" w:sz="0" w:val="none"/>
          <w:left w:color="auto" w:space="0" w:sz="0" w:val="none"/>
          <w:bottom w:color="auto" w:space="0" w:sz="0" w:val="none"/>
          <w:right w:color="auto" w:space="0" w:sz="0" w:val="none"/>
          <w:between w:color="auto" w:space="0" w:sz="0" w:val="none"/>
        </w:pBdr>
        <w:spacing w:after="0" w:afterAutospacing="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If not packaged and labeled in accordance with USP/NF specifications;</w:t>
      </w:r>
    </w:p>
    <w:p w:rsidR="00000000" w:rsidDel="00000000" w:rsidP="00000000" w:rsidRDefault="00000000" w:rsidRPr="00000000" w14:paraId="000000A7">
      <w:pPr>
        <w:numPr>
          <w:ilvl w:val="0"/>
          <w:numId w:val="22"/>
        </w:numPr>
        <w:pBdr>
          <w:top w:color="auto" w:space="0" w:sz="0" w:val="none"/>
          <w:left w:color="auto" w:space="0" w:sz="0" w:val="none"/>
          <w:bottom w:color="auto" w:space="0" w:sz="0" w:val="none"/>
          <w:right w:color="auto" w:space="0" w:sz="0" w:val="none"/>
          <w:between w:color="auto" w:space="0" w:sz="0" w:val="none"/>
        </w:pBdr>
        <w:spacing w:after="0" w:afterAutospacing="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If the drug is liable to deterioration, and labeling does not contain warnings to that effect;</w:t>
      </w:r>
    </w:p>
    <w:p w:rsidR="00000000" w:rsidDel="00000000" w:rsidP="00000000" w:rsidRDefault="00000000" w:rsidRPr="00000000" w14:paraId="000000A8">
      <w:pPr>
        <w:numPr>
          <w:ilvl w:val="0"/>
          <w:numId w:val="22"/>
        </w:numPr>
        <w:pBdr>
          <w:top w:color="auto" w:space="0" w:sz="0" w:val="none"/>
          <w:left w:color="auto" w:space="0" w:sz="0" w:val="none"/>
          <w:bottom w:color="auto" w:space="0" w:sz="0" w:val="none"/>
          <w:right w:color="auto" w:space="0" w:sz="0" w:val="none"/>
          <w:between w:color="auto" w:space="0" w:sz="0" w:val="none"/>
        </w:pBdr>
        <w:spacing w:after="0" w:afterAutospacing="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If it has a misleading container, imitates another drug, or is offered for sale under the name of another drug; and</w:t>
      </w:r>
    </w:p>
    <w:p w:rsidR="00000000" w:rsidDel="00000000" w:rsidP="00000000" w:rsidRDefault="00000000" w:rsidRPr="00000000" w14:paraId="000000A9">
      <w:pPr>
        <w:numPr>
          <w:ilvl w:val="0"/>
          <w:numId w:val="22"/>
        </w:numPr>
        <w:pBdr>
          <w:top w:color="auto" w:space="0" w:sz="0" w:val="none"/>
          <w:left w:color="auto" w:space="0" w:sz="0" w:val="none"/>
          <w:bottom w:color="auto" w:space="0" w:sz="0" w:val="none"/>
          <w:right w:color="auto" w:space="0" w:sz="0" w:val="none"/>
          <w:between w:color="auto" w:space="0" w:sz="0" w:val="none"/>
        </w:pBdr>
        <w:spacing w:after="24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The dosage, frequency, duration, or route of administration suggested in the labeling is dangerous.</w:t>
      </w:r>
    </w:p>
    <w:p w:rsidR="00000000" w:rsidDel="00000000" w:rsidP="00000000" w:rsidRDefault="00000000" w:rsidRPr="00000000" w14:paraId="000000AA">
      <w:pPr>
        <w:pBdr>
          <w:top w:color="auto" w:space="0" w:sz="0" w:val="none"/>
          <w:left w:color="auto" w:space="0" w:sz="0" w:val="none"/>
          <w:bottom w:color="auto" w:space="0" w:sz="0" w:val="none"/>
          <w:right w:color="auto" w:space="0" w:sz="0" w:val="none"/>
          <w:between w:color="auto" w:space="0" w:sz="0" w:val="none"/>
        </w:pBdr>
        <w:spacing w:after="280" w:line="392.72727272727275" w:lineRule="auto"/>
        <w:rPr>
          <w:rFonts w:ascii="Cambria" w:cs="Cambria" w:eastAsia="Cambria" w:hAnsi="Cambria"/>
          <w:b w:val="1"/>
        </w:rPr>
      </w:pPr>
      <w:r w:rsidDel="00000000" w:rsidR="00000000" w:rsidRPr="00000000">
        <w:rPr>
          <w:rFonts w:ascii="Cambria" w:cs="Cambria" w:eastAsia="Cambria" w:hAnsi="Cambria"/>
          <w:b w:val="1"/>
          <w:rtl w:val="0"/>
        </w:rPr>
        <w:t xml:space="preserve">Note: “misbranding” occurs when a pharmacist dispenses without a Rx or authorized refill.</w:t>
      </w:r>
    </w:p>
    <w:p w:rsidR="00000000" w:rsidDel="00000000" w:rsidP="00000000" w:rsidRDefault="00000000" w:rsidRPr="00000000" w14:paraId="000000AB">
      <w:pPr>
        <w:pBdr>
          <w:top w:color="auto" w:space="0" w:sz="0" w:val="none"/>
          <w:left w:color="auto" w:space="0" w:sz="0" w:val="none"/>
          <w:bottom w:color="auto" w:space="0" w:sz="0" w:val="none"/>
          <w:right w:color="auto" w:space="0" w:sz="0" w:val="none"/>
          <w:between w:color="auto" w:space="0" w:sz="0" w:val="none"/>
        </w:pBdr>
        <w:spacing w:after="280" w:line="392.72727272727275" w:lineRule="auto"/>
        <w:rPr>
          <w:rFonts w:ascii="Cambria" w:cs="Cambria" w:eastAsia="Cambria" w:hAnsi="Cambria"/>
        </w:rPr>
      </w:pPr>
      <w:r w:rsidDel="00000000" w:rsidR="00000000" w:rsidRPr="00000000">
        <w:rPr>
          <w:rFonts w:ascii="Cambria" w:cs="Cambria" w:eastAsia="Cambria" w:hAnsi="Cambria"/>
          <w:rtl w:val="0"/>
        </w:rPr>
        <w:t xml:space="preserve">Labeling is a very broad term, and includes (i) actual label; (ii) any written, printed, or graphic material upon any container (not just immediate container); and (iii) any wrapper or written, printed, or graphic matter accompanying the product. Labeling includes:</w:t>
      </w:r>
    </w:p>
    <w:p w:rsidR="00000000" w:rsidDel="00000000" w:rsidP="00000000" w:rsidRDefault="00000000" w:rsidRPr="00000000" w14:paraId="000000AC">
      <w:pPr>
        <w:numPr>
          <w:ilvl w:val="0"/>
          <w:numId w:val="21"/>
        </w:numPr>
        <w:pBdr>
          <w:top w:color="auto" w:space="0" w:sz="0" w:val="none"/>
          <w:left w:color="auto" w:space="0" w:sz="0" w:val="none"/>
          <w:bottom w:color="auto" w:space="0" w:sz="0" w:val="none"/>
          <w:right w:color="auto" w:space="0" w:sz="0" w:val="none"/>
          <w:between w:color="auto" w:space="0" w:sz="0" w:val="none"/>
        </w:pBdr>
        <w:spacing w:after="0" w:afterAutospacing="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Package insert;</w:t>
      </w:r>
    </w:p>
    <w:p w:rsidR="00000000" w:rsidDel="00000000" w:rsidP="00000000" w:rsidRDefault="00000000" w:rsidRPr="00000000" w14:paraId="000000AD">
      <w:pPr>
        <w:numPr>
          <w:ilvl w:val="0"/>
          <w:numId w:val="21"/>
        </w:numPr>
        <w:pBdr>
          <w:top w:color="auto" w:space="0" w:sz="0" w:val="none"/>
          <w:left w:color="auto" w:space="0" w:sz="0" w:val="none"/>
          <w:bottom w:color="auto" w:space="0" w:sz="0" w:val="none"/>
          <w:right w:color="auto" w:space="0" w:sz="0" w:val="none"/>
          <w:between w:color="auto" w:space="0" w:sz="0" w:val="none"/>
        </w:pBdr>
        <w:spacing w:after="0" w:afterAutospacing="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Drug advertisements;</w:t>
      </w:r>
    </w:p>
    <w:p w:rsidR="00000000" w:rsidDel="00000000" w:rsidP="00000000" w:rsidRDefault="00000000" w:rsidRPr="00000000" w14:paraId="000000AE">
      <w:pPr>
        <w:numPr>
          <w:ilvl w:val="0"/>
          <w:numId w:val="21"/>
        </w:numPr>
        <w:pBdr>
          <w:top w:color="auto" w:space="0" w:sz="0" w:val="none"/>
          <w:left w:color="auto" w:space="0" w:sz="0" w:val="none"/>
          <w:bottom w:color="auto" w:space="0" w:sz="0" w:val="none"/>
          <w:right w:color="auto" w:space="0" w:sz="0" w:val="none"/>
          <w:between w:color="auto" w:space="0" w:sz="0" w:val="none"/>
        </w:pBdr>
        <w:spacing w:after="0" w:afterAutospacing="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Information in publication such as PDR; and</w:t>
      </w:r>
    </w:p>
    <w:p w:rsidR="00000000" w:rsidDel="00000000" w:rsidP="00000000" w:rsidRDefault="00000000" w:rsidRPr="00000000" w14:paraId="000000AF">
      <w:pPr>
        <w:numPr>
          <w:ilvl w:val="0"/>
          <w:numId w:val="21"/>
        </w:numPr>
        <w:pBdr>
          <w:top w:color="auto" w:space="0" w:sz="0" w:val="none"/>
          <w:left w:color="auto" w:space="0" w:sz="0" w:val="none"/>
          <w:bottom w:color="auto" w:space="0" w:sz="0" w:val="none"/>
          <w:right w:color="auto" w:space="0" w:sz="0" w:val="none"/>
          <w:between w:color="auto" w:space="0" w:sz="0" w:val="none"/>
        </w:pBdr>
        <w:spacing w:after="24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Promotional materials, including newsletters and literature used in promotion.</w:t>
      </w:r>
    </w:p>
    <w:p w:rsidR="00000000" w:rsidDel="00000000" w:rsidP="00000000" w:rsidRDefault="00000000" w:rsidRPr="00000000" w14:paraId="000000B0">
      <w:pPr>
        <w:pBdr>
          <w:top w:color="auto" w:space="0" w:sz="0" w:val="none"/>
          <w:left w:color="auto" w:space="0" w:sz="0" w:val="none"/>
          <w:bottom w:color="auto" w:space="0" w:sz="0" w:val="none"/>
          <w:right w:color="auto" w:space="0" w:sz="0" w:val="none"/>
          <w:between w:color="auto" w:space="0" w:sz="0" w:val="none"/>
        </w:pBdr>
        <w:spacing w:after="280" w:line="392.72727272727275" w:lineRule="auto"/>
        <w:rPr>
          <w:rFonts w:ascii="Cambria" w:cs="Cambria" w:eastAsia="Cambria" w:hAnsi="Cambria"/>
        </w:rPr>
      </w:pPr>
      <w:r w:rsidDel="00000000" w:rsidR="00000000" w:rsidRPr="00000000">
        <w:rPr>
          <w:rFonts w:ascii="Cambria" w:cs="Cambria" w:eastAsia="Cambria" w:hAnsi="Cambria"/>
          <w:rtl w:val="0"/>
        </w:rPr>
        <w:t xml:space="preserve">Thus, information contained in any of these communications must comply with the misbranding provisions of the FDCA.</w:t>
      </w:r>
    </w:p>
    <w:p w:rsidR="00000000" w:rsidDel="00000000" w:rsidP="00000000" w:rsidRDefault="00000000" w:rsidRPr="00000000" w14:paraId="000000B1">
      <w:pPr>
        <w:pBdr>
          <w:top w:color="auto" w:space="0" w:sz="0" w:val="none"/>
          <w:left w:color="auto" w:space="0" w:sz="0" w:val="none"/>
          <w:bottom w:color="auto" w:space="0" w:sz="0" w:val="none"/>
          <w:right w:color="auto" w:space="0" w:sz="0" w:val="none"/>
          <w:between w:color="auto" w:space="0" w:sz="0" w:val="none"/>
        </w:pBdr>
        <w:spacing w:after="280" w:line="392.72727272727275" w:lineRule="auto"/>
        <w:ind w:left="0" w:firstLine="0"/>
        <w:rPr>
          <w:rFonts w:ascii="Cambria" w:cs="Cambria" w:eastAsia="Cambria" w:hAnsi="Cambria"/>
        </w:rPr>
      </w:pPr>
      <w:r w:rsidDel="00000000" w:rsidR="00000000" w:rsidRPr="00000000">
        <w:rPr>
          <w:rFonts w:ascii="Cambria" w:cs="Cambria" w:eastAsia="Cambria" w:hAnsi="Cambria"/>
          <w:rtl w:val="0"/>
        </w:rPr>
        <w:t xml:space="preserve">Adulterated</w:t>
      </w:r>
    </w:p>
    <w:p w:rsidR="00000000" w:rsidDel="00000000" w:rsidP="00000000" w:rsidRDefault="00000000" w:rsidRPr="00000000" w14:paraId="000000B2">
      <w:pPr>
        <w:pBdr>
          <w:top w:color="auto" w:space="0" w:sz="0" w:val="none"/>
          <w:left w:color="auto" w:space="0" w:sz="0" w:val="none"/>
          <w:bottom w:color="auto" w:space="0" w:sz="0" w:val="none"/>
          <w:right w:color="auto" w:space="0" w:sz="0" w:val="none"/>
          <w:between w:color="auto" w:space="0" w:sz="0" w:val="none"/>
        </w:pBdr>
        <w:spacing w:after="280" w:line="392.72727272727275" w:lineRule="auto"/>
        <w:ind w:left="0" w:firstLine="0"/>
        <w:rPr>
          <w:rFonts w:ascii="Cambria" w:cs="Cambria" w:eastAsia="Cambria" w:hAnsi="Cambria"/>
        </w:rPr>
      </w:pPr>
      <w:r w:rsidDel="00000000" w:rsidR="00000000" w:rsidRPr="00000000">
        <w:rPr>
          <w:rFonts w:ascii="Cambria" w:cs="Cambria" w:eastAsia="Cambria" w:hAnsi="Cambria"/>
          <w:rtl w:val="0"/>
        </w:rPr>
        <w:t xml:space="preserve">Adulteration” is the failure of a drug or device to satisfy FDA purity standards</w:t>
      </w:r>
    </w:p>
    <w:p w:rsidR="00000000" w:rsidDel="00000000" w:rsidP="00000000" w:rsidRDefault="00000000" w:rsidRPr="00000000" w14:paraId="000000B3">
      <w:pPr>
        <w:numPr>
          <w:ilvl w:val="0"/>
          <w:numId w:val="12"/>
        </w:numPr>
        <w:pBdr>
          <w:top w:color="auto" w:space="0" w:sz="0" w:val="none"/>
          <w:left w:color="auto" w:space="0" w:sz="0" w:val="none"/>
          <w:bottom w:color="auto" w:space="0" w:sz="0" w:val="none"/>
          <w:right w:color="auto" w:space="0" w:sz="0" w:val="none"/>
          <w:between w:color="auto" w:space="0" w:sz="0" w:val="none"/>
        </w:pBdr>
        <w:spacing w:after="0" w:afterAutospacing="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It consists in whole or in part of any filthy, putrid, or decomposed substance; or</w:t>
      </w:r>
    </w:p>
    <w:p w:rsidR="00000000" w:rsidDel="00000000" w:rsidP="00000000" w:rsidRDefault="00000000" w:rsidRPr="00000000" w14:paraId="000000B4">
      <w:pPr>
        <w:numPr>
          <w:ilvl w:val="0"/>
          <w:numId w:val="12"/>
        </w:numPr>
        <w:pBdr>
          <w:top w:color="auto" w:space="0" w:sz="0" w:val="none"/>
          <w:left w:color="auto" w:space="0" w:sz="0" w:val="none"/>
          <w:bottom w:color="auto" w:space="0" w:sz="0" w:val="none"/>
          <w:right w:color="auto" w:space="0" w:sz="0" w:val="none"/>
          <w:between w:color="auto" w:space="0" w:sz="0" w:val="none"/>
        </w:pBdr>
        <w:spacing w:after="0" w:afterAutospacing="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It has been prepared, packed, or held under unsanitary conditions whereby it may have become contaminated with filth, or whereby it may have been rendered injurious to health; or</w:t>
      </w:r>
    </w:p>
    <w:p w:rsidR="00000000" w:rsidDel="00000000" w:rsidP="00000000" w:rsidRDefault="00000000" w:rsidRPr="00000000" w14:paraId="000000B5">
      <w:pPr>
        <w:numPr>
          <w:ilvl w:val="0"/>
          <w:numId w:val="12"/>
        </w:numPr>
        <w:pBdr>
          <w:top w:color="auto" w:space="0" w:sz="0" w:val="none"/>
          <w:left w:color="auto" w:space="0" w:sz="0" w:val="none"/>
          <w:bottom w:color="auto" w:space="0" w:sz="0" w:val="none"/>
          <w:right w:color="auto" w:space="0" w:sz="0" w:val="none"/>
          <w:between w:color="auto" w:space="0" w:sz="0" w:val="none"/>
        </w:pBdr>
        <w:spacing w:after="0" w:afterAutospacing="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It is a drug, and the methods used in, or the facilities or controls used for manufacturing, packaging, etc. are in violation of current good manufacturing practices; or</w:t>
      </w:r>
    </w:p>
    <w:p w:rsidR="00000000" w:rsidDel="00000000" w:rsidP="00000000" w:rsidRDefault="00000000" w:rsidRPr="00000000" w14:paraId="000000B6">
      <w:pPr>
        <w:numPr>
          <w:ilvl w:val="0"/>
          <w:numId w:val="12"/>
        </w:numPr>
        <w:pBdr>
          <w:top w:color="auto" w:space="0" w:sz="0" w:val="none"/>
          <w:left w:color="auto" w:space="0" w:sz="0" w:val="none"/>
          <w:bottom w:color="auto" w:space="0" w:sz="0" w:val="none"/>
          <w:right w:color="auto" w:space="0" w:sz="0" w:val="none"/>
          <w:between w:color="auto" w:space="0" w:sz="0" w:val="none"/>
        </w:pBdr>
        <w:spacing w:after="0" w:afterAutospacing="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Its container is composed, in whole or in part, of any poisonous or deleterious substance that may render the contents injurious to health; or</w:t>
      </w:r>
    </w:p>
    <w:p w:rsidR="00000000" w:rsidDel="00000000" w:rsidP="00000000" w:rsidRDefault="00000000" w:rsidRPr="00000000" w14:paraId="000000B7">
      <w:pPr>
        <w:numPr>
          <w:ilvl w:val="0"/>
          <w:numId w:val="12"/>
        </w:numPr>
        <w:pBdr>
          <w:top w:color="auto" w:space="0" w:sz="0" w:val="none"/>
          <w:left w:color="auto" w:space="0" w:sz="0" w:val="none"/>
          <w:bottom w:color="auto" w:space="0" w:sz="0" w:val="none"/>
          <w:right w:color="auto" w:space="0" w:sz="0" w:val="none"/>
          <w:between w:color="auto" w:space="0" w:sz="0" w:val="none"/>
        </w:pBdr>
        <w:spacing w:after="0" w:afterAutospacing="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It bears an unsafe color additive for purposes of coloring only; or</w:t>
      </w:r>
    </w:p>
    <w:p w:rsidR="00000000" w:rsidDel="00000000" w:rsidP="00000000" w:rsidRDefault="00000000" w:rsidRPr="00000000" w14:paraId="000000B8">
      <w:pPr>
        <w:numPr>
          <w:ilvl w:val="0"/>
          <w:numId w:val="12"/>
        </w:numPr>
        <w:pBdr>
          <w:top w:color="auto" w:space="0" w:sz="0" w:val="none"/>
          <w:left w:color="auto" w:space="0" w:sz="0" w:val="none"/>
          <w:bottom w:color="auto" w:space="0" w:sz="0" w:val="none"/>
          <w:right w:color="auto" w:space="0" w:sz="0" w:val="none"/>
          <w:between w:color="auto" w:space="0" w:sz="0" w:val="none"/>
        </w:pBdr>
        <w:spacing w:after="0" w:afterAutospacing="0" w:line="392.72727272727275" w:lineRule="auto"/>
        <w:ind w:left="720" w:hanging="360"/>
        <w:rPr>
          <w:rFonts w:ascii="Cambria" w:cs="Cambria" w:eastAsia="Cambria" w:hAnsi="Cambria"/>
          <w:b w:val="1"/>
          <w:color w:val="000000"/>
          <w:sz w:val="22"/>
          <w:szCs w:val="22"/>
        </w:rPr>
      </w:pPr>
      <w:r w:rsidDel="00000000" w:rsidR="00000000" w:rsidRPr="00000000">
        <w:rPr>
          <w:rFonts w:ascii="Cambria" w:cs="Cambria" w:eastAsia="Cambria" w:hAnsi="Cambria"/>
          <w:b w:val="1"/>
          <w:rtl w:val="0"/>
        </w:rPr>
        <w:t xml:space="preserve">Drug is labeled as if recognized in an official compendium, but strength differs from, or quality or purity falls below compendium standards; or</w:t>
      </w:r>
    </w:p>
    <w:p w:rsidR="00000000" w:rsidDel="00000000" w:rsidP="00000000" w:rsidRDefault="00000000" w:rsidRPr="00000000" w14:paraId="000000B9">
      <w:pPr>
        <w:numPr>
          <w:ilvl w:val="0"/>
          <w:numId w:val="12"/>
        </w:numPr>
        <w:pBdr>
          <w:top w:color="auto" w:space="0" w:sz="0" w:val="none"/>
          <w:left w:color="auto" w:space="0" w:sz="0" w:val="none"/>
          <w:bottom w:color="auto" w:space="0" w:sz="0" w:val="none"/>
          <w:right w:color="auto" w:space="0" w:sz="0" w:val="none"/>
          <w:between w:color="auto" w:space="0" w:sz="0" w:val="none"/>
        </w:pBdr>
        <w:spacing w:after="0" w:afterAutospacing="0" w:line="392.72727272727275" w:lineRule="auto"/>
        <w:ind w:left="720" w:hanging="360"/>
        <w:rPr>
          <w:rFonts w:ascii="Cambria" w:cs="Cambria" w:eastAsia="Cambria" w:hAnsi="Cambria"/>
          <w:b w:val="1"/>
          <w:color w:val="000000"/>
          <w:sz w:val="22"/>
          <w:szCs w:val="22"/>
        </w:rPr>
      </w:pPr>
      <w:r w:rsidDel="00000000" w:rsidR="00000000" w:rsidRPr="00000000">
        <w:rPr>
          <w:rFonts w:ascii="Cambria" w:cs="Cambria" w:eastAsia="Cambria" w:hAnsi="Cambria"/>
          <w:b w:val="1"/>
          <w:rtl w:val="0"/>
        </w:rPr>
        <w:t xml:space="preserve">Drug is not listed in an official compendium, and its strength differs from, or its quality and purity falls below what is represented on label; or</w:t>
      </w:r>
    </w:p>
    <w:p w:rsidR="00000000" w:rsidDel="00000000" w:rsidP="00000000" w:rsidRDefault="00000000" w:rsidRPr="00000000" w14:paraId="000000BA">
      <w:pPr>
        <w:numPr>
          <w:ilvl w:val="0"/>
          <w:numId w:val="12"/>
        </w:numPr>
        <w:pBdr>
          <w:top w:color="auto" w:space="0" w:sz="0" w:val="none"/>
          <w:left w:color="auto" w:space="0" w:sz="0" w:val="none"/>
          <w:bottom w:color="auto" w:space="0" w:sz="0" w:val="none"/>
          <w:right w:color="auto" w:space="0" w:sz="0" w:val="none"/>
          <w:between w:color="auto" w:space="0" w:sz="0" w:val="none"/>
        </w:pBdr>
        <w:spacing w:after="240" w:line="392.72727272727275" w:lineRule="auto"/>
        <w:ind w:left="720" w:hanging="360"/>
        <w:rPr>
          <w:color w:val="000000"/>
          <w:sz w:val="22"/>
          <w:szCs w:val="22"/>
        </w:rPr>
      </w:pPr>
      <w:r w:rsidDel="00000000" w:rsidR="00000000" w:rsidRPr="00000000">
        <w:rPr>
          <w:rFonts w:ascii="Cambria" w:cs="Cambria" w:eastAsia="Cambria" w:hAnsi="Cambria"/>
          <w:b w:val="1"/>
          <w:rtl w:val="0"/>
        </w:rPr>
        <w:t xml:space="preserve">Any substance has been mixed with the drug to reduce the drug’s strength, or any substance has been substituted for the drug</w:t>
      </w:r>
      <w:r w:rsidDel="00000000" w:rsidR="00000000" w:rsidRPr="00000000">
        <w:rPr>
          <w:rFonts w:ascii="Cambria" w:cs="Cambria" w:eastAsia="Cambria" w:hAnsi="Cambria"/>
          <w:rtl w:val="0"/>
        </w:rPr>
        <w:t xml:space="preserve">.</w:t>
      </w:r>
    </w:p>
    <w:p w:rsidR="00000000" w:rsidDel="00000000" w:rsidP="00000000" w:rsidRDefault="00000000" w:rsidRPr="00000000" w14:paraId="000000BB">
      <w:pPr>
        <w:pBdr>
          <w:top w:color="auto" w:space="0" w:sz="0" w:val="none"/>
          <w:left w:color="auto" w:space="0" w:sz="0" w:val="none"/>
          <w:bottom w:color="auto" w:space="0" w:sz="0" w:val="none"/>
          <w:right w:color="auto" w:space="0" w:sz="0" w:val="none"/>
          <w:between w:color="auto" w:space="0" w:sz="0" w:val="none"/>
        </w:pBdr>
        <w:spacing w:after="280" w:line="392.72727272727275" w:lineRule="auto"/>
        <w:ind w:left="0" w:firstLine="0"/>
        <w:rPr>
          <w:rFonts w:ascii="Cambria" w:cs="Cambria" w:eastAsia="Cambria" w:hAnsi="Cambria"/>
        </w:rPr>
      </w:pPr>
      <w:r w:rsidDel="00000000" w:rsidR="00000000" w:rsidRPr="00000000">
        <w:rPr>
          <w:rFonts w:ascii="Cambria" w:cs="Cambria" w:eastAsia="Cambria" w:hAnsi="Cambria"/>
          <w:rtl w:val="0"/>
        </w:rPr>
        <w:t xml:space="preserve">Manufacturing vs compounding</w:t>
      </w:r>
    </w:p>
    <w:p w:rsidR="00000000" w:rsidDel="00000000" w:rsidP="00000000" w:rsidRDefault="00000000" w:rsidRPr="00000000" w14:paraId="000000BC">
      <w:pPr>
        <w:pBdr>
          <w:top w:color="auto" w:space="0" w:sz="0" w:val="none"/>
          <w:left w:color="auto" w:space="0" w:sz="0" w:val="none"/>
          <w:bottom w:color="auto" w:space="0" w:sz="0" w:val="none"/>
          <w:right w:color="auto" w:space="0" w:sz="0" w:val="none"/>
          <w:between w:color="auto" w:space="0" w:sz="0" w:val="none"/>
        </w:pBdr>
        <w:spacing w:after="280" w:line="392.72727272727275" w:lineRule="auto"/>
        <w:ind w:left="0" w:firstLine="0"/>
        <w:rPr>
          <w:rFonts w:ascii="Cambria" w:cs="Cambria" w:eastAsia="Cambria" w:hAnsi="Cambria"/>
        </w:rPr>
      </w:pPr>
      <w:r w:rsidDel="00000000" w:rsidR="00000000" w:rsidRPr="00000000">
        <w:rPr>
          <w:rFonts w:ascii="Cambria" w:cs="Cambria" w:eastAsia="Cambria" w:hAnsi="Cambria"/>
          <w:rtl w:val="0"/>
        </w:rPr>
        <w:t xml:space="preserve">“Compounding” requires the existence of a valid doctor, patient, and pharmacist relationship. A doctor must prescribe or order the compounded product for a patient in order for the pharmacist to compound. Always look for this “triad” relationship to determine whether an activity is “compounding” or “manufacturing.” Based on this requirement, the FDA would view the compounding of a product for OTC sales as manufacturing.</w:t>
      </w:r>
    </w:p>
    <w:p w:rsidR="00000000" w:rsidDel="00000000" w:rsidP="00000000" w:rsidRDefault="00000000" w:rsidRPr="00000000" w14:paraId="000000BD">
      <w:pPr>
        <w:pBdr>
          <w:top w:color="auto" w:space="0" w:sz="0" w:val="none"/>
          <w:left w:color="auto" w:space="0" w:sz="0" w:val="none"/>
          <w:bottom w:color="auto" w:space="0" w:sz="0" w:val="none"/>
          <w:right w:color="auto" w:space="0" w:sz="0" w:val="none"/>
          <w:between w:color="auto" w:space="0" w:sz="0" w:val="none"/>
        </w:pBdr>
        <w:spacing w:after="280" w:line="392.72727272727275" w:lineRule="auto"/>
        <w:ind w:left="0" w:firstLine="0"/>
        <w:rPr>
          <w:rFonts w:ascii="Cambria" w:cs="Cambria" w:eastAsia="Cambria" w:hAnsi="Cambria"/>
        </w:rPr>
      </w:pPr>
      <w:r w:rsidDel="00000000" w:rsidR="00000000" w:rsidRPr="00000000">
        <w:rPr>
          <w:rFonts w:ascii="Cambria" w:cs="Cambria" w:eastAsia="Cambria" w:hAnsi="Cambria"/>
          <w:rtl w:val="0"/>
        </w:rPr>
        <w:t xml:space="preserve">Section 503A of the Food, Drug and Cosmetics Act addresses the distinction in general terms. A drug is not considered to be “manufactured” and is therefore not subject to FDA requirements for drug approval, current good manufacturing practices, and labeling where the drug product is compounded for an identified individual patient based on the unsolicited receipt of a valid prescription order or a notation, approved by the prescribing practitioner, on the prescription order that a compounded product is necessary for the identified patient, if the drug product meets the requirements of federal law </w:t>
      </w:r>
    </w:p>
    <w:p w:rsidR="00000000" w:rsidDel="00000000" w:rsidP="00000000" w:rsidRDefault="00000000" w:rsidRPr="00000000" w14:paraId="000000BE">
      <w:pPr>
        <w:pBdr>
          <w:top w:color="auto" w:space="0" w:sz="0" w:val="none"/>
          <w:left w:color="auto" w:space="0" w:sz="0" w:val="none"/>
          <w:bottom w:color="auto" w:space="0" w:sz="0" w:val="none"/>
          <w:right w:color="auto" w:space="0" w:sz="0" w:val="none"/>
          <w:between w:color="auto" w:space="0" w:sz="0" w:val="none"/>
        </w:pBdr>
        <w:spacing w:after="280" w:line="392.72727272727275" w:lineRule="auto"/>
        <w:rPr>
          <w:rFonts w:ascii="Cambria" w:cs="Cambria" w:eastAsia="Cambria" w:hAnsi="Cambria"/>
        </w:rPr>
      </w:pPr>
      <w:r w:rsidDel="00000000" w:rsidR="00000000" w:rsidRPr="00000000">
        <w:rPr>
          <w:rFonts w:ascii="Cambria" w:cs="Cambria" w:eastAsia="Cambria" w:hAnsi="Cambria"/>
          <w:rtl w:val="0"/>
        </w:rPr>
        <w:t xml:space="preserve">Federal Outsourcing Facilities</w:t>
      </w:r>
    </w:p>
    <w:p w:rsidR="00000000" w:rsidDel="00000000" w:rsidP="00000000" w:rsidRDefault="00000000" w:rsidRPr="00000000" w14:paraId="000000BF">
      <w:pPr>
        <w:pBdr>
          <w:top w:color="auto" w:space="0" w:sz="0" w:val="none"/>
          <w:left w:color="auto" w:space="0" w:sz="0" w:val="none"/>
          <w:bottom w:color="auto" w:space="0" w:sz="0" w:val="none"/>
          <w:right w:color="auto" w:space="0" w:sz="0" w:val="none"/>
          <w:between w:color="auto" w:space="0" w:sz="0" w:val="none"/>
        </w:pBdr>
        <w:spacing w:after="280" w:line="392.72727272727275" w:lineRule="auto"/>
        <w:rPr>
          <w:rFonts w:ascii="Cambria" w:cs="Cambria" w:eastAsia="Cambria" w:hAnsi="Cambria"/>
        </w:rPr>
      </w:pPr>
      <w:r w:rsidDel="00000000" w:rsidR="00000000" w:rsidRPr="00000000">
        <w:rPr>
          <w:rFonts w:ascii="Cambria" w:cs="Cambria" w:eastAsia="Cambria" w:hAnsi="Cambria"/>
          <w:rtl w:val="0"/>
        </w:rPr>
        <w:t xml:space="preserve">Under Section 503B of the Food Drug and Cosmetics Act, a compounder can become an “outsourcing facility.” An outsourcing facility will be able to qualify for exemptions from the FDA approval requirements and the requirement to label products with adequate directions for use, but not the exemption from CGMP requirements. Outsourcing facilities:</w:t>
      </w:r>
    </w:p>
    <w:p w:rsidR="00000000" w:rsidDel="00000000" w:rsidP="00000000" w:rsidRDefault="00000000" w:rsidRPr="00000000" w14:paraId="000000C0">
      <w:pPr>
        <w:numPr>
          <w:ilvl w:val="0"/>
          <w:numId w:val="30"/>
        </w:numPr>
        <w:pBdr>
          <w:top w:color="auto" w:space="0" w:sz="0" w:val="none"/>
          <w:left w:color="auto" w:space="0" w:sz="0" w:val="none"/>
          <w:bottom w:color="auto" w:space="0" w:sz="0" w:val="none"/>
          <w:right w:color="auto" w:space="0" w:sz="0" w:val="none"/>
          <w:between w:color="auto" w:space="0" w:sz="0" w:val="none"/>
        </w:pBdr>
        <w:spacing w:after="0" w:afterAutospacing="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Must comply with CGMP requirements,</w:t>
      </w:r>
    </w:p>
    <w:p w:rsidR="00000000" w:rsidDel="00000000" w:rsidP="00000000" w:rsidRDefault="00000000" w:rsidRPr="00000000" w14:paraId="000000C1">
      <w:pPr>
        <w:numPr>
          <w:ilvl w:val="0"/>
          <w:numId w:val="30"/>
        </w:numPr>
        <w:pBdr>
          <w:top w:color="auto" w:space="0" w:sz="0" w:val="none"/>
          <w:left w:color="auto" w:space="0" w:sz="0" w:val="none"/>
          <w:bottom w:color="auto" w:space="0" w:sz="0" w:val="none"/>
          <w:right w:color="auto" w:space="0" w:sz="0" w:val="none"/>
          <w:between w:color="auto" w:space="0" w:sz="0" w:val="none"/>
        </w:pBdr>
        <w:spacing w:after="0" w:afterAutospacing="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Will be inspected by FDA according to a risk-based schedule, and</w:t>
      </w:r>
    </w:p>
    <w:p w:rsidR="00000000" w:rsidDel="00000000" w:rsidP="00000000" w:rsidRDefault="00000000" w:rsidRPr="00000000" w14:paraId="000000C2">
      <w:pPr>
        <w:numPr>
          <w:ilvl w:val="0"/>
          <w:numId w:val="30"/>
        </w:numPr>
        <w:pBdr>
          <w:top w:color="auto" w:space="0" w:sz="0" w:val="none"/>
          <w:left w:color="auto" w:space="0" w:sz="0" w:val="none"/>
          <w:bottom w:color="auto" w:space="0" w:sz="0" w:val="none"/>
          <w:right w:color="auto" w:space="0" w:sz="0" w:val="none"/>
          <w:between w:color="auto" w:space="0" w:sz="0" w:val="none"/>
        </w:pBdr>
        <w:spacing w:after="24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Must meet certain other conditions, such as reporting adverse events and providing FDA with certain information about the products they compound.</w:t>
      </w:r>
    </w:p>
    <w:p w:rsidR="00000000" w:rsidDel="00000000" w:rsidP="00000000" w:rsidRDefault="00000000" w:rsidRPr="00000000" w14:paraId="000000C3">
      <w:pPr>
        <w:pBdr>
          <w:top w:color="auto" w:space="0" w:sz="0" w:val="none"/>
          <w:left w:color="auto" w:space="0" w:sz="0" w:val="none"/>
          <w:bottom w:color="auto" w:space="0" w:sz="0" w:val="none"/>
          <w:right w:color="auto" w:space="0" w:sz="0" w:val="none"/>
          <w:between w:color="auto" w:space="0" w:sz="0" w:val="none"/>
        </w:pBdr>
        <w:spacing w:after="280" w:line="392.72727272727275" w:lineRule="auto"/>
        <w:rPr>
          <w:rFonts w:ascii="Cambria" w:cs="Cambria" w:eastAsia="Cambria" w:hAnsi="Cambria"/>
        </w:rPr>
      </w:pPr>
      <w:r w:rsidDel="00000000" w:rsidR="00000000" w:rsidRPr="00000000">
        <w:rPr>
          <w:rFonts w:ascii="Cambria" w:cs="Cambria" w:eastAsia="Cambria" w:hAnsi="Cambria"/>
          <w:rtl w:val="0"/>
        </w:rPr>
        <w:t xml:space="preserve">In general, if compounders register with the FDA as outsourcing facilities, hospitals and other health care providers can obtain compounded drugs, including sterile compounded drugs directly from the outsourcing facility, without use of a patient specific prescription.</w:t>
      </w:r>
    </w:p>
    <w:p w:rsidR="00000000" w:rsidDel="00000000" w:rsidP="00000000" w:rsidRDefault="00000000" w:rsidRPr="00000000" w14:paraId="000000C4">
      <w:pPr>
        <w:pBdr>
          <w:top w:color="auto" w:space="0" w:sz="0" w:val="none"/>
          <w:left w:color="auto" w:space="0" w:sz="0" w:val="none"/>
          <w:bottom w:color="auto" w:space="0" w:sz="0" w:val="none"/>
          <w:right w:color="auto" w:space="0" w:sz="0" w:val="none"/>
          <w:between w:color="auto" w:space="0" w:sz="0" w:val="none"/>
        </w:pBdr>
        <w:spacing w:after="240" w:line="360" w:lineRule="auto"/>
        <w:ind w:left="0" w:firstLine="0"/>
        <w:rPr>
          <w:rFonts w:ascii="Cambria" w:cs="Cambria" w:eastAsia="Cambria" w:hAnsi="Cambria"/>
        </w:rPr>
      </w:pPr>
      <w:r w:rsidDel="00000000" w:rsidR="00000000" w:rsidRPr="00000000">
        <w:rPr>
          <w:rFonts w:ascii="Cambria" w:cs="Cambria" w:eastAsia="Cambria" w:hAnsi="Cambria"/>
          <w:rtl w:val="0"/>
        </w:rPr>
        <w:t xml:space="preserve">VII. Repackaged OTC labels </w:t>
      </w:r>
    </w:p>
    <w:p w:rsidR="00000000" w:rsidDel="00000000" w:rsidP="00000000" w:rsidRDefault="00000000" w:rsidRPr="00000000" w14:paraId="000000C5">
      <w:pPr>
        <w:pBdr>
          <w:top w:color="auto" w:space="0" w:sz="0" w:val="none"/>
          <w:left w:color="auto" w:space="0" w:sz="0" w:val="none"/>
          <w:bottom w:color="auto" w:space="0" w:sz="0" w:val="none"/>
          <w:right w:color="auto" w:space="0" w:sz="0" w:val="none"/>
          <w:between w:color="auto" w:space="0" w:sz="0" w:val="none"/>
        </w:pBdr>
        <w:spacing w:after="240" w:line="360" w:lineRule="auto"/>
        <w:ind w:left="0" w:firstLine="0"/>
        <w:rPr>
          <w:rFonts w:ascii="Cambria" w:cs="Cambria" w:eastAsia="Cambria" w:hAnsi="Cambria"/>
        </w:rPr>
      </w:pPr>
      <w:r w:rsidDel="00000000" w:rsidR="00000000" w:rsidRPr="00000000">
        <w:rPr>
          <w:rFonts w:ascii="Cambria" w:cs="Cambria" w:eastAsia="Cambria" w:hAnsi="Cambria"/>
          <w:rtl w:val="0"/>
        </w:rPr>
        <w:t xml:space="preserve">Repackaged OTC labels must contain same information as is required for commercial product:</w:t>
      </w:r>
    </w:p>
    <w:p w:rsidR="00000000" w:rsidDel="00000000" w:rsidP="00000000" w:rsidRDefault="00000000" w:rsidRPr="00000000" w14:paraId="000000C6">
      <w:pPr>
        <w:numPr>
          <w:ilvl w:val="1"/>
          <w:numId w:val="34"/>
        </w:numPr>
        <w:pBdr>
          <w:top w:color="auto" w:space="0" w:sz="0" w:val="none"/>
          <w:left w:color="auto" w:space="0" w:sz="0" w:val="none"/>
          <w:bottom w:color="auto" w:space="0" w:sz="0" w:val="none"/>
          <w:right w:color="auto" w:space="0" w:sz="0" w:val="none"/>
          <w:between w:color="auto" w:space="0" w:sz="0" w:val="none"/>
        </w:pBdr>
        <w:spacing w:after="0" w:afterAutospacing="0" w:line="360" w:lineRule="auto"/>
        <w:ind w:left="144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Established name of the product, and its pharmacological category;</w:t>
      </w:r>
    </w:p>
    <w:p w:rsidR="00000000" w:rsidDel="00000000" w:rsidP="00000000" w:rsidRDefault="00000000" w:rsidRPr="00000000" w14:paraId="000000C7">
      <w:pPr>
        <w:numPr>
          <w:ilvl w:val="1"/>
          <w:numId w:val="34"/>
        </w:numPr>
        <w:pBdr>
          <w:top w:color="auto" w:space="0" w:sz="0" w:val="none"/>
          <w:left w:color="auto" w:space="0" w:sz="0" w:val="none"/>
          <w:bottom w:color="auto" w:space="0" w:sz="0" w:val="none"/>
          <w:right w:color="auto" w:space="0" w:sz="0" w:val="none"/>
          <w:between w:color="auto" w:space="0" w:sz="0" w:val="none"/>
        </w:pBdr>
        <w:spacing w:after="0" w:afterAutospacing="0" w:line="360" w:lineRule="auto"/>
        <w:ind w:left="144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Name and address of the manufacturer, packager, or distributor;</w:t>
      </w:r>
    </w:p>
    <w:p w:rsidR="00000000" w:rsidDel="00000000" w:rsidP="00000000" w:rsidRDefault="00000000" w:rsidRPr="00000000" w14:paraId="000000C8">
      <w:pPr>
        <w:numPr>
          <w:ilvl w:val="1"/>
          <w:numId w:val="34"/>
        </w:numPr>
        <w:pBdr>
          <w:top w:color="auto" w:space="0" w:sz="0" w:val="none"/>
          <w:left w:color="auto" w:space="0" w:sz="0" w:val="none"/>
          <w:bottom w:color="auto" w:space="0" w:sz="0" w:val="none"/>
          <w:right w:color="auto" w:space="0" w:sz="0" w:val="none"/>
          <w:between w:color="auto" w:space="0" w:sz="0" w:val="none"/>
        </w:pBdr>
        <w:spacing w:after="0" w:afterAutospacing="0" w:line="360" w:lineRule="auto"/>
        <w:ind w:left="144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Net contents of product, by weight or numerical count;</w:t>
      </w:r>
    </w:p>
    <w:p w:rsidR="00000000" w:rsidDel="00000000" w:rsidP="00000000" w:rsidRDefault="00000000" w:rsidRPr="00000000" w14:paraId="000000C9">
      <w:pPr>
        <w:numPr>
          <w:ilvl w:val="1"/>
          <w:numId w:val="34"/>
        </w:numPr>
        <w:pBdr>
          <w:top w:color="auto" w:space="0" w:sz="0" w:val="none"/>
          <w:left w:color="auto" w:space="0" w:sz="0" w:val="none"/>
          <w:bottom w:color="auto" w:space="0" w:sz="0" w:val="none"/>
          <w:right w:color="auto" w:space="0" w:sz="0" w:val="none"/>
          <w:between w:color="auto" w:space="0" w:sz="0" w:val="none"/>
        </w:pBdr>
        <w:spacing w:after="0" w:afterAutospacing="0" w:line="360" w:lineRule="auto"/>
        <w:ind w:left="144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The established name of all active ingredients and quantity of certain other ingredients, whether active or not;</w:t>
      </w:r>
    </w:p>
    <w:p w:rsidR="00000000" w:rsidDel="00000000" w:rsidP="00000000" w:rsidRDefault="00000000" w:rsidRPr="00000000" w14:paraId="000000CA">
      <w:pPr>
        <w:numPr>
          <w:ilvl w:val="1"/>
          <w:numId w:val="34"/>
        </w:numPr>
        <w:pBdr>
          <w:top w:color="auto" w:space="0" w:sz="0" w:val="none"/>
          <w:left w:color="auto" w:space="0" w:sz="0" w:val="none"/>
          <w:bottom w:color="auto" w:space="0" w:sz="0" w:val="none"/>
          <w:right w:color="auto" w:space="0" w:sz="0" w:val="none"/>
          <w:between w:color="auto" w:space="0" w:sz="0" w:val="none"/>
        </w:pBdr>
        <w:spacing w:after="0" w:afterAutospacing="0" w:line="360" w:lineRule="auto"/>
        <w:ind w:left="144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Name of any habit-forming drugs in the product;</w:t>
      </w:r>
    </w:p>
    <w:p w:rsidR="00000000" w:rsidDel="00000000" w:rsidP="00000000" w:rsidRDefault="00000000" w:rsidRPr="00000000" w14:paraId="000000CB">
      <w:pPr>
        <w:numPr>
          <w:ilvl w:val="1"/>
          <w:numId w:val="34"/>
        </w:numPr>
        <w:pBdr>
          <w:top w:color="auto" w:space="0" w:sz="0" w:val="none"/>
          <w:left w:color="auto" w:space="0" w:sz="0" w:val="none"/>
          <w:bottom w:color="auto" w:space="0" w:sz="0" w:val="none"/>
          <w:right w:color="auto" w:space="0" w:sz="0" w:val="none"/>
          <w:between w:color="auto" w:space="0" w:sz="0" w:val="none"/>
        </w:pBdr>
        <w:spacing w:after="0" w:afterAutospacing="0" w:line="360" w:lineRule="auto"/>
        <w:ind w:left="144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Instructions for safe storage;</w:t>
      </w:r>
    </w:p>
    <w:p w:rsidR="00000000" w:rsidDel="00000000" w:rsidP="00000000" w:rsidRDefault="00000000" w:rsidRPr="00000000" w14:paraId="000000CC">
      <w:pPr>
        <w:numPr>
          <w:ilvl w:val="1"/>
          <w:numId w:val="34"/>
        </w:numPr>
        <w:pBdr>
          <w:top w:color="auto" w:space="0" w:sz="0" w:val="none"/>
          <w:left w:color="auto" w:space="0" w:sz="0" w:val="none"/>
          <w:bottom w:color="auto" w:space="0" w:sz="0" w:val="none"/>
          <w:right w:color="auto" w:space="0" w:sz="0" w:val="none"/>
          <w:between w:color="auto" w:space="0" w:sz="0" w:val="none"/>
        </w:pBdr>
        <w:spacing w:after="0" w:afterAutospacing="0" w:line="360" w:lineRule="auto"/>
        <w:ind w:left="144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Cautions and warnings needed to protect the consumer; and</w:t>
      </w:r>
    </w:p>
    <w:p w:rsidR="00000000" w:rsidDel="00000000" w:rsidP="00000000" w:rsidRDefault="00000000" w:rsidRPr="00000000" w14:paraId="000000CD">
      <w:pPr>
        <w:numPr>
          <w:ilvl w:val="1"/>
          <w:numId w:val="34"/>
        </w:numPr>
        <w:pBdr>
          <w:top w:color="auto" w:space="0" w:sz="0" w:val="none"/>
          <w:left w:color="auto" w:space="0" w:sz="0" w:val="none"/>
          <w:bottom w:color="auto" w:space="0" w:sz="0" w:val="none"/>
          <w:right w:color="auto" w:space="0" w:sz="0" w:val="none"/>
          <w:between w:color="auto" w:space="0" w:sz="0" w:val="none"/>
        </w:pBdr>
        <w:spacing w:after="240" w:line="360" w:lineRule="auto"/>
        <w:ind w:left="144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Adequate directions for safe and effective use.</w:t>
      </w:r>
    </w:p>
    <w:p w:rsidR="00000000" w:rsidDel="00000000" w:rsidP="00000000" w:rsidRDefault="00000000" w:rsidRPr="00000000" w14:paraId="000000CE">
      <w:pPr>
        <w:pBdr>
          <w:top w:color="auto" w:space="0" w:sz="0" w:val="none"/>
          <w:left w:color="auto" w:space="0" w:sz="0" w:val="none"/>
          <w:bottom w:color="auto" w:space="0" w:sz="0" w:val="none"/>
          <w:right w:color="auto" w:space="0" w:sz="0" w:val="none"/>
          <w:between w:color="auto" w:space="0" w:sz="0" w:val="none"/>
        </w:pBdr>
        <w:spacing w:after="280" w:line="392.72727272727275" w:lineRule="auto"/>
        <w:rPr>
          <w:rFonts w:ascii="Cambria" w:cs="Cambria" w:eastAsia="Cambria" w:hAnsi="Cambria"/>
          <w:b w:val="1"/>
        </w:rPr>
      </w:pPr>
      <w:r w:rsidDel="00000000" w:rsidR="00000000" w:rsidRPr="00000000">
        <w:rPr>
          <w:rFonts w:ascii="Cambria" w:cs="Cambria" w:eastAsia="Cambria" w:hAnsi="Cambria"/>
          <w:b w:val="1"/>
          <w:rtl w:val="0"/>
        </w:rPr>
        <w:t xml:space="preserve">Note: Does not apply to hospital repackaging for “own use.</w:t>
      </w:r>
    </w:p>
    <w:p w:rsidR="00000000" w:rsidDel="00000000" w:rsidP="00000000" w:rsidRDefault="00000000" w:rsidRPr="00000000" w14:paraId="000000CF">
      <w:pPr>
        <w:pBdr>
          <w:top w:color="auto" w:space="0" w:sz="0" w:val="none"/>
          <w:left w:color="auto" w:space="0" w:sz="0" w:val="none"/>
          <w:bottom w:color="auto" w:space="0" w:sz="0" w:val="none"/>
          <w:right w:color="auto" w:space="0" w:sz="0" w:val="none"/>
          <w:between w:color="auto" w:space="0" w:sz="0" w:val="none"/>
        </w:pBdr>
        <w:spacing w:after="280" w:line="392.72727272727275" w:lineRule="auto"/>
        <w:rPr>
          <w:rFonts w:ascii="Cambria" w:cs="Cambria" w:eastAsia="Cambria" w:hAnsi="Cambria"/>
        </w:rPr>
      </w:pPr>
      <w:r w:rsidDel="00000000" w:rsidR="00000000" w:rsidRPr="00000000">
        <w:rPr>
          <w:rFonts w:ascii="Cambria" w:cs="Cambria" w:eastAsia="Cambria" w:hAnsi="Cambria"/>
          <w:rtl w:val="0"/>
        </w:rPr>
        <w:t xml:space="preserve">VIII. Removing drugs from market</w:t>
      </w:r>
    </w:p>
    <w:p w:rsidR="00000000" w:rsidDel="00000000" w:rsidP="00000000" w:rsidRDefault="00000000" w:rsidRPr="00000000" w14:paraId="000000D0">
      <w:pPr>
        <w:numPr>
          <w:ilvl w:val="0"/>
          <w:numId w:val="26"/>
        </w:numPr>
        <w:pBdr>
          <w:top w:color="auto" w:space="0" w:sz="0" w:val="none"/>
          <w:left w:color="auto" w:space="0" w:sz="0" w:val="none"/>
          <w:bottom w:color="auto" w:space="0" w:sz="0" w:val="none"/>
          <w:right w:color="auto" w:space="0" w:sz="0" w:val="none"/>
          <w:between w:color="auto" w:space="0" w:sz="0" w:val="none"/>
        </w:pBdr>
        <w:spacing w:after="0" w:afterAutospacing="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i w:val="1"/>
          <w:rtl w:val="0"/>
        </w:rPr>
        <w:t xml:space="preserve">Seizure</w:t>
        <w:br w:type="textWrapping"/>
      </w:r>
      <w:r w:rsidDel="00000000" w:rsidR="00000000" w:rsidRPr="00000000">
        <w:rPr>
          <w:rFonts w:ascii="Cambria" w:cs="Cambria" w:eastAsia="Cambria" w:hAnsi="Cambria"/>
          <w:rtl w:val="0"/>
        </w:rPr>
        <w:t xml:space="preserve">FDA may “seize” drugs which are “misbranded” or “adulterated.” A “seizure” is the physical isolation of drug while FDA or state agency files a civil lawsuit.</w:t>
      </w:r>
    </w:p>
    <w:p w:rsidR="00000000" w:rsidDel="00000000" w:rsidP="00000000" w:rsidRDefault="00000000" w:rsidRPr="00000000" w14:paraId="000000D1">
      <w:pPr>
        <w:numPr>
          <w:ilvl w:val="0"/>
          <w:numId w:val="26"/>
        </w:numPr>
        <w:pBdr>
          <w:top w:color="auto" w:space="0" w:sz="0" w:val="none"/>
          <w:left w:color="auto" w:space="0" w:sz="0" w:val="none"/>
          <w:bottom w:color="auto" w:space="0" w:sz="0" w:val="none"/>
          <w:right w:color="auto" w:space="0" w:sz="0" w:val="none"/>
          <w:between w:color="auto" w:space="0" w:sz="0" w:val="none"/>
        </w:pBdr>
        <w:spacing w:after="0" w:afterAutospacing="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i w:val="1"/>
          <w:rtl w:val="0"/>
        </w:rPr>
        <w:t xml:space="preserve">Recall</w:t>
        <w:br w:type="textWrapping"/>
      </w:r>
      <w:r w:rsidDel="00000000" w:rsidR="00000000" w:rsidRPr="00000000">
        <w:rPr>
          <w:rFonts w:ascii="Cambria" w:cs="Cambria" w:eastAsia="Cambria" w:hAnsi="Cambria"/>
          <w:rtl w:val="0"/>
        </w:rPr>
        <w:t xml:space="preserve">The correction or removal, and notification to the company, of a product, which is in violation of the law. Three levels of recall are as follows:</w:t>
      </w:r>
    </w:p>
    <w:p w:rsidR="00000000" w:rsidDel="00000000" w:rsidP="00000000" w:rsidRDefault="00000000" w:rsidRPr="00000000" w14:paraId="000000D2">
      <w:pPr>
        <w:numPr>
          <w:ilvl w:val="1"/>
          <w:numId w:val="26"/>
        </w:numPr>
        <w:pBdr>
          <w:top w:color="auto" w:space="0" w:sz="0" w:val="none"/>
          <w:left w:color="auto" w:space="0" w:sz="0" w:val="none"/>
          <w:bottom w:color="auto" w:space="0" w:sz="0" w:val="none"/>
          <w:right w:color="auto" w:space="0" w:sz="0" w:val="none"/>
          <w:between w:color="auto" w:space="0" w:sz="0" w:val="none"/>
        </w:pBdr>
        <w:spacing w:after="0" w:afterAutospacing="0" w:line="360" w:lineRule="auto"/>
        <w:ind w:left="1440" w:hanging="360"/>
        <w:rPr>
          <w:color w:val="000000"/>
          <w:sz w:val="22"/>
          <w:szCs w:val="22"/>
        </w:rPr>
      </w:pPr>
      <w:r w:rsidDel="00000000" w:rsidR="00000000" w:rsidRPr="00000000">
        <w:rPr>
          <w:rFonts w:ascii="Cambria" w:cs="Cambria" w:eastAsia="Cambria" w:hAnsi="Cambria"/>
          <w:rtl w:val="0"/>
        </w:rPr>
        <w:t xml:space="preserve">Class I Recall</w:t>
        <w:br w:type="textWrapping"/>
        <w:t xml:space="preserve">Reasonable probability that the use of, or exposure to, a violative product will cause </w:t>
      </w:r>
      <w:r w:rsidDel="00000000" w:rsidR="00000000" w:rsidRPr="00000000">
        <w:rPr>
          <w:rFonts w:ascii="Cambria" w:cs="Cambria" w:eastAsia="Cambria" w:hAnsi="Cambria"/>
          <w:b w:val="1"/>
          <w:rtl w:val="0"/>
        </w:rPr>
        <w:t xml:space="preserve">serious adverse health consequences or death</w:t>
      </w:r>
      <w:r w:rsidDel="00000000" w:rsidR="00000000" w:rsidRPr="00000000">
        <w:rPr>
          <w:rFonts w:ascii="Cambria" w:cs="Cambria" w:eastAsia="Cambria" w:hAnsi="Cambria"/>
          <w:rtl w:val="0"/>
        </w:rPr>
        <w:t xml:space="preserve">.</w:t>
      </w:r>
    </w:p>
    <w:p w:rsidR="00000000" w:rsidDel="00000000" w:rsidP="00000000" w:rsidRDefault="00000000" w:rsidRPr="00000000" w14:paraId="000000D3">
      <w:pPr>
        <w:numPr>
          <w:ilvl w:val="1"/>
          <w:numId w:val="26"/>
        </w:numPr>
        <w:pBdr>
          <w:top w:color="auto" w:space="0" w:sz="0" w:val="none"/>
          <w:left w:color="auto" w:space="0" w:sz="0" w:val="none"/>
          <w:bottom w:color="auto" w:space="0" w:sz="0" w:val="none"/>
          <w:right w:color="auto" w:space="0" w:sz="0" w:val="none"/>
          <w:between w:color="auto" w:space="0" w:sz="0" w:val="none"/>
        </w:pBdr>
        <w:spacing w:after="0" w:afterAutospacing="0" w:line="360" w:lineRule="auto"/>
        <w:ind w:left="1440" w:hanging="360"/>
        <w:rPr>
          <w:color w:val="000000"/>
          <w:sz w:val="22"/>
          <w:szCs w:val="22"/>
        </w:rPr>
      </w:pPr>
      <w:r w:rsidDel="00000000" w:rsidR="00000000" w:rsidRPr="00000000">
        <w:rPr>
          <w:rFonts w:ascii="Cambria" w:cs="Cambria" w:eastAsia="Cambria" w:hAnsi="Cambria"/>
          <w:rtl w:val="0"/>
        </w:rPr>
        <w:t xml:space="preserve">Class II Recall</w:t>
        <w:br w:type="textWrapping"/>
        <w:t xml:space="preserve">Use of or exposure to product may cause a</w:t>
      </w:r>
      <w:r w:rsidDel="00000000" w:rsidR="00000000" w:rsidRPr="00000000">
        <w:rPr>
          <w:rFonts w:ascii="Cambria" w:cs="Cambria" w:eastAsia="Cambria" w:hAnsi="Cambria"/>
          <w:b w:val="1"/>
          <w:rtl w:val="0"/>
        </w:rPr>
        <w:t xml:space="preserve"> temporary or medically reversible</w:t>
      </w:r>
      <w:r w:rsidDel="00000000" w:rsidR="00000000" w:rsidRPr="00000000">
        <w:rPr>
          <w:rFonts w:ascii="Cambria" w:cs="Cambria" w:eastAsia="Cambria" w:hAnsi="Cambria"/>
          <w:rtl w:val="0"/>
        </w:rPr>
        <w:t xml:space="preserve"> adverse health consequence, or where the probability of serious health consequences is remote.</w:t>
      </w:r>
    </w:p>
    <w:p w:rsidR="00000000" w:rsidDel="00000000" w:rsidP="00000000" w:rsidRDefault="00000000" w:rsidRPr="00000000" w14:paraId="000000D4">
      <w:pPr>
        <w:numPr>
          <w:ilvl w:val="1"/>
          <w:numId w:val="26"/>
        </w:numPr>
        <w:pBdr>
          <w:top w:color="auto" w:space="0" w:sz="0" w:val="none"/>
          <w:left w:color="auto" w:space="0" w:sz="0" w:val="none"/>
          <w:bottom w:color="auto" w:space="0" w:sz="0" w:val="none"/>
          <w:right w:color="auto" w:space="0" w:sz="0" w:val="none"/>
          <w:between w:color="auto" w:space="0" w:sz="0" w:val="none"/>
        </w:pBdr>
        <w:spacing w:after="240" w:line="360" w:lineRule="auto"/>
        <w:ind w:left="144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Class III Recall</w:t>
        <w:br w:type="textWrapping"/>
        <w:t xml:space="preserve">Use of or exposure to product is not likely to cause serious adverse health consequences.</w:t>
      </w:r>
    </w:p>
    <w:p w:rsidR="00000000" w:rsidDel="00000000" w:rsidP="00000000" w:rsidRDefault="00000000" w:rsidRPr="00000000" w14:paraId="000000D5">
      <w:pPr>
        <w:pBdr>
          <w:top w:color="auto" w:space="0" w:sz="0" w:val="none"/>
          <w:left w:color="auto" w:space="0" w:sz="0" w:val="none"/>
          <w:bottom w:color="auto" w:space="0" w:sz="0" w:val="none"/>
          <w:right w:color="auto" w:space="0" w:sz="0" w:val="none"/>
          <w:between w:color="auto" w:space="0" w:sz="0" w:val="none"/>
        </w:pBdr>
        <w:spacing w:after="280" w:line="392.72727272727275" w:lineRule="auto"/>
        <w:rPr>
          <w:rFonts w:ascii="Cambria" w:cs="Cambria" w:eastAsia="Cambria" w:hAnsi="Cambria"/>
        </w:rPr>
      </w:pPr>
      <w:r w:rsidDel="00000000" w:rsidR="00000000" w:rsidRPr="00000000">
        <w:rPr>
          <w:rFonts w:ascii="Cambria" w:cs="Cambria" w:eastAsia="Cambria" w:hAnsi="Cambria"/>
          <w:rtl w:val="0"/>
        </w:rPr>
        <w:t xml:space="preserve">IX. Miscellaneous</w:t>
      </w:r>
    </w:p>
    <w:p w:rsidR="00000000" w:rsidDel="00000000" w:rsidP="00000000" w:rsidRDefault="00000000" w:rsidRPr="00000000" w14:paraId="000000D6">
      <w:pPr>
        <w:pBdr>
          <w:top w:color="auto" w:space="0" w:sz="0" w:val="none"/>
          <w:left w:color="auto" w:space="0" w:sz="0" w:val="none"/>
          <w:bottom w:color="auto" w:space="0" w:sz="0" w:val="none"/>
          <w:right w:color="auto" w:space="0" w:sz="0" w:val="none"/>
          <w:between w:color="auto" w:space="0" w:sz="0" w:val="none"/>
        </w:pBdr>
        <w:spacing w:after="280" w:line="392.72727272727275" w:lineRule="auto"/>
        <w:rPr>
          <w:rFonts w:ascii="Cambria" w:cs="Cambria" w:eastAsia="Cambria" w:hAnsi="Cambria"/>
        </w:rPr>
      </w:pPr>
      <w:r w:rsidDel="00000000" w:rsidR="00000000" w:rsidRPr="00000000">
        <w:rPr>
          <w:rFonts w:ascii="Cambria" w:cs="Cambria" w:eastAsia="Cambria" w:hAnsi="Cambria"/>
          <w:rtl w:val="0"/>
        </w:rPr>
        <w:t xml:space="preserve">National Drug Code (NDC), which is a universal product identifier for human drugs.</w:t>
      </w:r>
    </w:p>
    <w:p w:rsidR="00000000" w:rsidDel="00000000" w:rsidP="00000000" w:rsidRDefault="00000000" w:rsidRPr="00000000" w14:paraId="000000D7">
      <w:pPr>
        <w:numPr>
          <w:ilvl w:val="0"/>
          <w:numId w:val="19"/>
        </w:numPr>
        <w:pBdr>
          <w:top w:color="auto" w:space="0" w:sz="0" w:val="none"/>
          <w:left w:color="auto" w:space="0" w:sz="0" w:val="none"/>
          <w:bottom w:color="auto" w:space="0" w:sz="0" w:val="none"/>
          <w:right w:color="auto" w:space="0" w:sz="0" w:val="none"/>
          <w:between w:color="auto" w:space="0" w:sz="0" w:val="none"/>
        </w:pBdr>
        <w:spacing w:after="24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The number is a series of 10 or 11 digits that are designed to identify the manufacturer, the drug, and the package size.</w:t>
      </w:r>
    </w:p>
    <w:p w:rsidR="00000000" w:rsidDel="00000000" w:rsidP="00000000" w:rsidRDefault="00000000" w:rsidRPr="00000000" w14:paraId="000000D8">
      <w:pPr>
        <w:pBdr>
          <w:top w:color="auto" w:space="0" w:sz="0" w:val="none"/>
          <w:left w:color="auto" w:space="0" w:sz="0" w:val="none"/>
          <w:bottom w:color="auto" w:space="0" w:sz="0" w:val="none"/>
          <w:right w:color="auto" w:space="0" w:sz="0" w:val="none"/>
          <w:between w:color="auto" w:space="0" w:sz="0" w:val="none"/>
        </w:pBdr>
        <w:spacing w:after="280" w:line="392.72727272727275" w:lineRule="auto"/>
        <w:rPr>
          <w:rFonts w:ascii="Cambria" w:cs="Cambria" w:eastAsia="Cambria" w:hAnsi="Cambria"/>
        </w:rPr>
      </w:pPr>
      <w:r w:rsidDel="00000000" w:rsidR="00000000" w:rsidRPr="00000000">
        <w:rPr>
          <w:rFonts w:ascii="Cambria" w:cs="Cambria" w:eastAsia="Cambria" w:hAnsi="Cambria"/>
          <w:rtl w:val="0"/>
        </w:rPr>
        <w:t xml:space="preserve">Tamper-Evident Packaging</w:t>
      </w:r>
    </w:p>
    <w:p w:rsidR="00000000" w:rsidDel="00000000" w:rsidP="00000000" w:rsidRDefault="00000000" w:rsidRPr="00000000" w14:paraId="000000D9">
      <w:pPr>
        <w:pBdr>
          <w:top w:color="auto" w:space="0" w:sz="0" w:val="none"/>
          <w:left w:color="auto" w:space="0" w:sz="0" w:val="none"/>
          <w:bottom w:color="auto" w:space="0" w:sz="0" w:val="none"/>
          <w:right w:color="auto" w:space="0" w:sz="0" w:val="none"/>
          <w:between w:color="auto" w:space="0" w:sz="0" w:val="none"/>
        </w:pBdr>
        <w:spacing w:after="280" w:line="392.72727272727275" w:lineRule="auto"/>
        <w:rPr>
          <w:rFonts w:ascii="Cambria" w:cs="Cambria" w:eastAsia="Cambria" w:hAnsi="Cambria"/>
          <w:b w:val="1"/>
        </w:rPr>
      </w:pPr>
      <w:r w:rsidDel="00000000" w:rsidR="00000000" w:rsidRPr="00000000">
        <w:rPr>
          <w:rFonts w:ascii="Cambria" w:cs="Cambria" w:eastAsia="Cambria" w:hAnsi="Cambria"/>
          <w:b w:val="1"/>
          <w:rtl w:val="0"/>
        </w:rPr>
        <w:t xml:space="preserve">An OTC drug product (except a dermatological, dentifrice, </w:t>
      </w:r>
      <w:hyperlink r:id="rId15">
        <w:r w:rsidDel="00000000" w:rsidR="00000000" w:rsidRPr="00000000">
          <w:rPr>
            <w:rFonts w:ascii="Cambria" w:cs="Cambria" w:eastAsia="Cambria" w:hAnsi="Cambria"/>
            <w:b w:val="1"/>
            <w:rtl w:val="0"/>
          </w:rPr>
          <w:t xml:space="preserve">insulin</w:t>
        </w:r>
      </w:hyperlink>
      <w:r w:rsidDel="00000000" w:rsidR="00000000" w:rsidRPr="00000000">
        <w:rPr>
          <w:rFonts w:ascii="Cambria" w:cs="Cambria" w:eastAsia="Cambria" w:hAnsi="Cambria"/>
          <w:b w:val="1"/>
          <w:rtl w:val="0"/>
        </w:rPr>
        <w:t xml:space="preserve">, or lozenge product) for retail sale must be packaged in a tamper-resistant package.</w:t>
      </w:r>
    </w:p>
    <w:p w:rsidR="00000000" w:rsidDel="00000000" w:rsidP="00000000" w:rsidRDefault="00000000" w:rsidRPr="00000000" w14:paraId="000000DA">
      <w:pPr>
        <w:pBdr>
          <w:top w:color="auto" w:space="0" w:sz="0" w:val="none"/>
          <w:left w:color="auto" w:space="0" w:sz="0" w:val="none"/>
          <w:bottom w:color="auto" w:space="0" w:sz="0" w:val="none"/>
          <w:right w:color="auto" w:space="0" w:sz="0" w:val="none"/>
          <w:between w:color="auto" w:space="0" w:sz="0" w:val="none"/>
        </w:pBdr>
        <w:spacing w:after="280" w:line="392.72727272727275" w:lineRule="auto"/>
        <w:rPr>
          <w:rFonts w:ascii="Cambria" w:cs="Cambria" w:eastAsia="Cambria" w:hAnsi="Cambria"/>
        </w:rPr>
      </w:pPr>
      <w:r w:rsidDel="00000000" w:rsidR="00000000" w:rsidRPr="00000000">
        <w:rPr>
          <w:rFonts w:ascii="Cambria" w:cs="Cambria" w:eastAsia="Cambria" w:hAnsi="Cambria"/>
          <w:rtl w:val="0"/>
        </w:rPr>
        <w:t xml:space="preserve">Labeling. (1) In order to alert consumers to the specific tamper-evident feature(s) used, each retail package of an OTC drug product utilizing tamper-evident packaging is required to bear a statement that:</w:t>
      </w:r>
    </w:p>
    <w:p w:rsidR="00000000" w:rsidDel="00000000" w:rsidP="00000000" w:rsidRDefault="00000000" w:rsidRPr="00000000" w14:paraId="000000DB">
      <w:pPr>
        <w:numPr>
          <w:ilvl w:val="0"/>
          <w:numId w:val="24"/>
        </w:numPr>
        <w:pBdr>
          <w:top w:color="auto" w:space="0" w:sz="0" w:val="none"/>
          <w:left w:color="auto" w:space="0" w:sz="0" w:val="none"/>
          <w:bottom w:color="auto" w:space="0" w:sz="0" w:val="none"/>
          <w:right w:color="auto" w:space="0" w:sz="0" w:val="none"/>
          <w:between w:color="auto" w:space="0" w:sz="0" w:val="none"/>
        </w:pBdr>
        <w:spacing w:after="0" w:afterAutospacing="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Identifies all tamper-evident feature(s) and any capsule sealing technologies used to comply with paragraph (b) of this section (for example, the labeling statement on a bottle with a shrink band could say “For your protection, this bottle has an imprinted seal around the neck.”);</w:t>
      </w:r>
    </w:p>
    <w:p w:rsidR="00000000" w:rsidDel="00000000" w:rsidP="00000000" w:rsidRDefault="00000000" w:rsidRPr="00000000" w14:paraId="000000DC">
      <w:pPr>
        <w:numPr>
          <w:ilvl w:val="0"/>
          <w:numId w:val="24"/>
        </w:numPr>
        <w:pBdr>
          <w:top w:color="auto" w:space="0" w:sz="0" w:val="none"/>
          <w:left w:color="auto" w:space="0" w:sz="0" w:val="none"/>
          <w:bottom w:color="auto" w:space="0" w:sz="0" w:val="none"/>
          <w:right w:color="auto" w:space="0" w:sz="0" w:val="none"/>
          <w:between w:color="auto" w:space="0" w:sz="0" w:val="none"/>
        </w:pBdr>
        <w:spacing w:after="0" w:afterAutospacing="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Is prominently placed on the package; and</w:t>
      </w:r>
    </w:p>
    <w:p w:rsidR="00000000" w:rsidDel="00000000" w:rsidP="00000000" w:rsidRDefault="00000000" w:rsidRPr="00000000" w14:paraId="000000DD">
      <w:pPr>
        <w:numPr>
          <w:ilvl w:val="0"/>
          <w:numId w:val="24"/>
        </w:numPr>
        <w:pBdr>
          <w:top w:color="auto" w:space="0" w:sz="0" w:val="none"/>
          <w:left w:color="auto" w:space="0" w:sz="0" w:val="none"/>
          <w:bottom w:color="auto" w:space="0" w:sz="0" w:val="none"/>
          <w:right w:color="auto" w:space="0" w:sz="0" w:val="none"/>
          <w:between w:color="auto" w:space="0" w:sz="0" w:val="none"/>
        </w:pBdr>
        <w:spacing w:after="24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Is so placed that it will be unaffected if the tamper-evident feature of the package is breached or missing.</w:t>
      </w:r>
    </w:p>
    <w:p w:rsidR="00000000" w:rsidDel="00000000" w:rsidP="00000000" w:rsidRDefault="00000000" w:rsidRPr="00000000" w14:paraId="000000DE">
      <w:pPr>
        <w:pBdr>
          <w:top w:color="auto" w:space="0" w:sz="0" w:val="none"/>
          <w:left w:color="auto" w:space="0" w:sz="0" w:val="none"/>
          <w:bottom w:color="auto" w:space="0" w:sz="0" w:val="none"/>
          <w:right w:color="auto" w:space="0" w:sz="0" w:val="none"/>
          <w:between w:color="auto" w:space="0" w:sz="0" w:val="none"/>
        </w:pBdr>
        <w:spacing w:after="280" w:line="392.72727272727275" w:lineRule="auto"/>
        <w:rPr>
          <w:rFonts w:ascii="Cambria" w:cs="Cambria" w:eastAsia="Cambria" w:hAnsi="Cambria"/>
        </w:rPr>
      </w:pPr>
      <w:r w:rsidDel="00000000" w:rsidR="00000000" w:rsidRPr="00000000">
        <w:rPr>
          <w:rFonts w:ascii="Cambria" w:cs="Cambria" w:eastAsia="Cambria" w:hAnsi="Cambria"/>
          <w:rtl w:val="0"/>
        </w:rPr>
        <w:t xml:space="preserve">Poison Prevention Packaging Act</w:t>
      </w:r>
    </w:p>
    <w:p w:rsidR="00000000" w:rsidDel="00000000" w:rsidP="00000000" w:rsidRDefault="00000000" w:rsidRPr="00000000" w14:paraId="000000DF">
      <w:pPr>
        <w:numPr>
          <w:ilvl w:val="0"/>
          <w:numId w:val="20"/>
        </w:numPr>
        <w:pBdr>
          <w:top w:color="auto" w:space="0" w:sz="0" w:val="none"/>
          <w:left w:color="auto" w:space="0" w:sz="0" w:val="none"/>
          <w:bottom w:color="auto" w:space="0" w:sz="0" w:val="none"/>
          <w:right w:color="auto" w:space="0" w:sz="0" w:val="none"/>
          <w:between w:color="auto" w:space="0" w:sz="0" w:val="none"/>
        </w:pBdr>
        <w:spacing w:after="240" w:line="392.72727272727275" w:lineRule="auto"/>
        <w:ind w:left="720" w:hanging="360"/>
        <w:rPr>
          <w:color w:val="000000"/>
          <w:sz w:val="22"/>
          <w:szCs w:val="22"/>
        </w:rPr>
      </w:pPr>
      <w:r w:rsidDel="00000000" w:rsidR="00000000" w:rsidRPr="00000000">
        <w:rPr>
          <w:rFonts w:ascii="Cambria" w:cs="Cambria" w:eastAsia="Cambria" w:hAnsi="Cambria"/>
          <w:b w:val="1"/>
          <w:i w:val="1"/>
          <w:rtl w:val="0"/>
        </w:rPr>
        <w:t xml:space="preserve">Enforced by the Consumer Products Safety Commission</w:t>
      </w:r>
      <w:hyperlink r:id="rId16">
        <w:r w:rsidDel="00000000" w:rsidR="00000000" w:rsidRPr="00000000">
          <w:rPr>
            <w:rFonts w:ascii="Cambria" w:cs="Cambria" w:eastAsia="Cambria" w:hAnsi="Cambria"/>
            <w:rtl w:val="0"/>
          </w:rPr>
          <w:br w:type="textWrapping"/>
        </w:r>
      </w:hyperlink>
      <w:r w:rsidDel="00000000" w:rsidR="00000000" w:rsidRPr="00000000">
        <w:rPr>
          <w:rFonts w:ascii="Cambria" w:cs="Cambria" w:eastAsia="Cambria" w:hAnsi="Cambria"/>
          <w:rtl w:val="0"/>
        </w:rPr>
        <w:t xml:space="preserve">Purpose of law is to provide special packaging to protect children under the age of 5 from accidental poisoning.</w:t>
      </w:r>
    </w:p>
    <w:p w:rsidR="00000000" w:rsidDel="00000000" w:rsidP="00000000" w:rsidRDefault="00000000" w:rsidRPr="00000000" w14:paraId="000000E0">
      <w:pPr>
        <w:pBdr>
          <w:top w:color="auto" w:space="0" w:sz="0" w:val="none"/>
          <w:left w:color="auto" w:space="0" w:sz="0" w:val="none"/>
          <w:bottom w:color="auto" w:space="0" w:sz="0" w:val="none"/>
          <w:right w:color="auto" w:space="0" w:sz="0" w:val="none"/>
          <w:between w:color="auto" w:space="0" w:sz="0" w:val="none"/>
        </w:pBdr>
        <w:spacing w:after="280" w:line="392.72727272727275" w:lineRule="auto"/>
        <w:rPr>
          <w:rFonts w:ascii="Cambria" w:cs="Cambria" w:eastAsia="Cambria" w:hAnsi="Cambria"/>
          <w:i w:val="1"/>
        </w:rPr>
      </w:pPr>
      <w:r w:rsidDel="00000000" w:rsidR="00000000" w:rsidRPr="00000000">
        <w:rPr>
          <w:rFonts w:ascii="Cambria" w:cs="Cambria" w:eastAsia="Cambria" w:hAnsi="Cambria"/>
          <w:i w:val="1"/>
          <w:rtl w:val="0"/>
        </w:rPr>
        <w:t xml:space="preserve">Safety Caps</w:t>
      </w:r>
    </w:p>
    <w:p w:rsidR="00000000" w:rsidDel="00000000" w:rsidP="00000000" w:rsidRDefault="00000000" w:rsidRPr="00000000" w14:paraId="000000E1">
      <w:pPr>
        <w:pBdr>
          <w:top w:color="auto" w:space="0" w:sz="0" w:val="none"/>
          <w:left w:color="auto" w:space="0" w:sz="0" w:val="none"/>
          <w:bottom w:color="auto" w:space="0" w:sz="0" w:val="none"/>
          <w:right w:color="auto" w:space="0" w:sz="0" w:val="none"/>
          <w:between w:color="auto" w:space="0" w:sz="0" w:val="none"/>
        </w:pBdr>
        <w:spacing w:after="280" w:line="392.72727272727275" w:lineRule="auto"/>
        <w:rPr>
          <w:rFonts w:ascii="Cambria" w:cs="Cambria" w:eastAsia="Cambria" w:hAnsi="Cambria"/>
        </w:rPr>
      </w:pPr>
      <w:r w:rsidDel="00000000" w:rsidR="00000000" w:rsidRPr="00000000">
        <w:rPr>
          <w:rFonts w:ascii="Cambria" w:cs="Cambria" w:eastAsia="Cambria" w:hAnsi="Cambria"/>
          <w:rtl w:val="0"/>
        </w:rPr>
        <w:t xml:space="preserve">All new and refilled prescriptions must have a child-resistant closure unless:</w:t>
      </w:r>
    </w:p>
    <w:p w:rsidR="00000000" w:rsidDel="00000000" w:rsidP="00000000" w:rsidRDefault="00000000" w:rsidRPr="00000000" w14:paraId="000000E2">
      <w:pPr>
        <w:numPr>
          <w:ilvl w:val="0"/>
          <w:numId w:val="5"/>
        </w:numPr>
        <w:pBdr>
          <w:top w:color="auto" w:space="0" w:sz="0" w:val="none"/>
          <w:left w:color="auto" w:space="0" w:sz="0" w:val="none"/>
          <w:bottom w:color="auto" w:space="0" w:sz="0" w:val="none"/>
          <w:right w:color="auto" w:space="0" w:sz="0" w:val="none"/>
          <w:between w:color="auto" w:space="0" w:sz="0" w:val="none"/>
        </w:pBdr>
        <w:spacing w:after="0" w:afterAutospacing="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The prescriber specifies none is to be used; applies only to individual prescriptions, cannot make blanket waiver.</w:t>
      </w:r>
    </w:p>
    <w:p w:rsidR="00000000" w:rsidDel="00000000" w:rsidP="00000000" w:rsidRDefault="00000000" w:rsidRPr="00000000" w14:paraId="000000E3">
      <w:pPr>
        <w:numPr>
          <w:ilvl w:val="0"/>
          <w:numId w:val="5"/>
        </w:numPr>
        <w:pBdr>
          <w:top w:color="auto" w:space="0" w:sz="0" w:val="none"/>
          <w:left w:color="auto" w:space="0" w:sz="0" w:val="none"/>
          <w:bottom w:color="auto" w:space="0" w:sz="0" w:val="none"/>
          <w:right w:color="auto" w:space="0" w:sz="0" w:val="none"/>
          <w:between w:color="auto" w:space="0" w:sz="0" w:val="none"/>
        </w:pBdr>
        <w:spacing w:after="24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The patient indicates they do not want a safety cap. The patient may provide a blanket authorization for non–child-resistant caps. However, authorization for a single prescription cannot be used to justify use of a non–child-resistant cap for future prescriptions.</w:t>
      </w:r>
    </w:p>
    <w:p w:rsidR="00000000" w:rsidDel="00000000" w:rsidP="00000000" w:rsidRDefault="00000000" w:rsidRPr="00000000" w14:paraId="000000E4">
      <w:pPr>
        <w:pBdr>
          <w:top w:color="auto" w:space="0" w:sz="0" w:val="none"/>
          <w:left w:color="auto" w:space="0" w:sz="0" w:val="none"/>
          <w:bottom w:color="auto" w:space="0" w:sz="0" w:val="none"/>
          <w:right w:color="auto" w:space="0" w:sz="0" w:val="none"/>
          <w:between w:color="auto" w:space="0" w:sz="0" w:val="none"/>
        </w:pBdr>
        <w:spacing w:after="240" w:line="392.72727272727275" w:lineRule="auto"/>
        <w:ind w:left="720" w:firstLine="0"/>
        <w:rPr>
          <w:rFonts w:ascii="Cambria" w:cs="Cambria" w:eastAsia="Cambria" w:hAnsi="Cambria"/>
        </w:rPr>
      </w:pPr>
      <w:r w:rsidDel="00000000" w:rsidR="00000000" w:rsidRPr="00000000">
        <w:rPr>
          <w:rFonts w:ascii="Cambria" w:cs="Cambria" w:eastAsia="Cambria" w:hAnsi="Cambria"/>
          <w:rtl w:val="0"/>
        </w:rPr>
        <w:t xml:space="preserve">When refilling a prescription, both parts of the plastic container must be replaced; </w:t>
      </w:r>
      <w:r w:rsidDel="00000000" w:rsidR="00000000" w:rsidRPr="00000000">
        <w:rPr>
          <w:rFonts w:ascii="Cambria" w:cs="Cambria" w:eastAsia="Cambria" w:hAnsi="Cambria"/>
          <w:b w:val="1"/>
          <w:rtl w:val="0"/>
        </w:rPr>
        <w:t xml:space="preserve">for glass bottles, it is permissible to reuse the glass container, but the plastic cap must be replaced.</w:t>
      </w:r>
      <w:r w:rsidDel="00000000" w:rsidR="00000000" w:rsidRPr="00000000">
        <w:rPr>
          <w:rtl w:val="0"/>
        </w:rPr>
      </w:r>
    </w:p>
    <w:p w:rsidR="00000000" w:rsidDel="00000000" w:rsidP="00000000" w:rsidRDefault="00000000" w:rsidRPr="00000000" w14:paraId="000000E5">
      <w:pPr>
        <w:pBdr>
          <w:top w:color="auto" w:space="0" w:sz="0" w:val="none"/>
          <w:left w:color="auto" w:space="0" w:sz="0" w:val="none"/>
          <w:bottom w:color="auto" w:space="0" w:sz="0" w:val="none"/>
          <w:right w:color="auto" w:space="0" w:sz="0" w:val="none"/>
          <w:between w:color="auto" w:space="0" w:sz="0" w:val="none"/>
        </w:pBdr>
        <w:spacing w:after="280" w:line="392.72727272727275" w:lineRule="auto"/>
        <w:rPr>
          <w:rFonts w:ascii="Cambria" w:cs="Cambria" w:eastAsia="Cambria" w:hAnsi="Cambria"/>
          <w:i w:val="1"/>
        </w:rPr>
      </w:pPr>
      <w:r w:rsidDel="00000000" w:rsidR="00000000" w:rsidRPr="00000000">
        <w:rPr>
          <w:rFonts w:ascii="Cambria" w:cs="Cambria" w:eastAsia="Cambria" w:hAnsi="Cambria"/>
          <w:i w:val="1"/>
          <w:rtl w:val="0"/>
        </w:rPr>
        <w:t xml:space="preserve">Some products are exempt from the PPPA</w:t>
      </w:r>
    </w:p>
    <w:p w:rsidR="00000000" w:rsidDel="00000000" w:rsidP="00000000" w:rsidRDefault="00000000" w:rsidRPr="00000000" w14:paraId="000000E6">
      <w:pPr>
        <w:pBdr>
          <w:top w:color="auto" w:space="0" w:sz="0" w:val="none"/>
          <w:left w:color="auto" w:space="0" w:sz="0" w:val="none"/>
          <w:bottom w:color="auto" w:space="0" w:sz="0" w:val="none"/>
          <w:right w:color="auto" w:space="0" w:sz="0" w:val="none"/>
          <w:between w:color="auto" w:space="0" w:sz="0" w:val="none"/>
        </w:pBdr>
        <w:spacing w:after="280" w:line="392.72727272727275" w:lineRule="auto"/>
        <w:rPr>
          <w:rFonts w:ascii="Cambria" w:cs="Cambria" w:eastAsia="Cambria" w:hAnsi="Cambria"/>
        </w:rPr>
      </w:pPr>
      <w:r w:rsidDel="00000000" w:rsidR="00000000" w:rsidRPr="00000000">
        <w:rPr>
          <w:rFonts w:ascii="Cambria" w:cs="Cambria" w:eastAsia="Cambria" w:hAnsi="Cambria"/>
          <w:rtl w:val="0"/>
        </w:rPr>
        <w:t xml:space="preserve">Examples include the following:</w:t>
      </w:r>
    </w:p>
    <w:p w:rsidR="00000000" w:rsidDel="00000000" w:rsidP="00000000" w:rsidRDefault="00000000" w:rsidRPr="00000000" w14:paraId="000000E7">
      <w:pPr>
        <w:numPr>
          <w:ilvl w:val="0"/>
          <w:numId w:val="11"/>
        </w:numPr>
        <w:pBdr>
          <w:top w:color="auto" w:space="0" w:sz="0" w:val="none"/>
          <w:left w:color="auto" w:space="0" w:sz="0" w:val="none"/>
          <w:bottom w:color="auto" w:space="0" w:sz="0" w:val="none"/>
          <w:right w:color="auto" w:space="0" w:sz="0" w:val="none"/>
          <w:between w:color="auto" w:space="0" w:sz="0" w:val="none"/>
        </w:pBdr>
        <w:spacing w:after="0" w:afterAutospacing="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Sublingual nitroglycerin tablets;</w:t>
      </w:r>
    </w:p>
    <w:p w:rsidR="00000000" w:rsidDel="00000000" w:rsidP="00000000" w:rsidRDefault="00000000" w:rsidRPr="00000000" w14:paraId="000000E8">
      <w:pPr>
        <w:numPr>
          <w:ilvl w:val="0"/>
          <w:numId w:val="11"/>
        </w:numPr>
        <w:pBdr>
          <w:top w:color="auto" w:space="0" w:sz="0" w:val="none"/>
          <w:left w:color="auto" w:space="0" w:sz="0" w:val="none"/>
          <w:bottom w:color="auto" w:space="0" w:sz="0" w:val="none"/>
          <w:right w:color="auto" w:space="0" w:sz="0" w:val="none"/>
          <w:between w:color="auto" w:space="0" w:sz="0" w:val="none"/>
        </w:pBdr>
        <w:spacing w:after="0" w:afterAutospacing="0" w:line="392.72727272727275" w:lineRule="auto"/>
        <w:ind w:left="720" w:hanging="360"/>
        <w:rPr>
          <w:color w:val="000000"/>
          <w:sz w:val="22"/>
          <w:szCs w:val="22"/>
        </w:rPr>
      </w:pPr>
      <w:r w:rsidDel="00000000" w:rsidR="00000000" w:rsidRPr="00000000">
        <w:rPr>
          <w:rFonts w:ascii="Cambria" w:cs="Cambria" w:eastAsia="Cambria" w:hAnsi="Cambria"/>
          <w:b w:val="1"/>
          <w:rtl w:val="0"/>
        </w:rPr>
        <w:t xml:space="preserve">Sublingual and chewable isosorbide dinitrate</w:t>
      </w:r>
      <w:r w:rsidDel="00000000" w:rsidR="00000000" w:rsidRPr="00000000">
        <w:rPr>
          <w:rFonts w:ascii="Cambria" w:cs="Cambria" w:eastAsia="Cambria" w:hAnsi="Cambria"/>
          <w:rtl w:val="0"/>
        </w:rPr>
        <w:t xml:space="preserve"> tablets in </w:t>
      </w:r>
      <w:r w:rsidDel="00000000" w:rsidR="00000000" w:rsidRPr="00000000">
        <w:rPr>
          <w:rFonts w:ascii="Cambria" w:cs="Cambria" w:eastAsia="Cambria" w:hAnsi="Cambria"/>
          <w:b w:val="1"/>
          <w:rtl w:val="0"/>
        </w:rPr>
        <w:t xml:space="preserve">doses of 10 mg or less</w:t>
      </w:r>
      <w:r w:rsidDel="00000000" w:rsidR="00000000" w:rsidRPr="00000000">
        <w:rPr>
          <w:rFonts w:ascii="Cambria" w:cs="Cambria" w:eastAsia="Cambria" w:hAnsi="Cambria"/>
          <w:rtl w:val="0"/>
        </w:rPr>
        <w:t xml:space="preserve">;</w:t>
      </w:r>
    </w:p>
    <w:p w:rsidR="00000000" w:rsidDel="00000000" w:rsidP="00000000" w:rsidRDefault="00000000" w:rsidRPr="00000000" w14:paraId="000000E9">
      <w:pPr>
        <w:numPr>
          <w:ilvl w:val="0"/>
          <w:numId w:val="11"/>
        </w:numPr>
        <w:pBdr>
          <w:top w:color="auto" w:space="0" w:sz="0" w:val="none"/>
          <w:left w:color="auto" w:space="0" w:sz="0" w:val="none"/>
          <w:bottom w:color="auto" w:space="0" w:sz="0" w:val="none"/>
          <w:right w:color="auto" w:space="0" w:sz="0" w:val="none"/>
          <w:between w:color="auto" w:space="0" w:sz="0" w:val="none"/>
        </w:pBdr>
        <w:spacing w:after="0" w:afterAutospacing="0" w:line="392.72727272727275" w:lineRule="auto"/>
        <w:ind w:left="720" w:hanging="360"/>
        <w:rPr>
          <w:rFonts w:ascii="Cambria" w:cs="Cambria" w:eastAsia="Cambria" w:hAnsi="Cambria"/>
          <w:b w:val="1"/>
          <w:color w:val="000000"/>
          <w:sz w:val="22"/>
          <w:szCs w:val="22"/>
        </w:rPr>
      </w:pPr>
      <w:r w:rsidDel="00000000" w:rsidR="00000000" w:rsidRPr="00000000">
        <w:rPr>
          <w:rFonts w:ascii="Cambria" w:cs="Cambria" w:eastAsia="Cambria" w:hAnsi="Cambria"/>
          <w:b w:val="1"/>
          <w:rtl w:val="0"/>
        </w:rPr>
        <w:t xml:space="preserve">Effervescent aspirin or acetaminophen tablets (containing no more than 15%);</w:t>
      </w:r>
    </w:p>
    <w:p w:rsidR="00000000" w:rsidDel="00000000" w:rsidP="00000000" w:rsidRDefault="00000000" w:rsidRPr="00000000" w14:paraId="000000EA">
      <w:pPr>
        <w:numPr>
          <w:ilvl w:val="0"/>
          <w:numId w:val="11"/>
        </w:numPr>
        <w:pBdr>
          <w:top w:color="auto" w:space="0" w:sz="0" w:val="none"/>
          <w:left w:color="auto" w:space="0" w:sz="0" w:val="none"/>
          <w:bottom w:color="auto" w:space="0" w:sz="0" w:val="none"/>
          <w:right w:color="auto" w:space="0" w:sz="0" w:val="none"/>
          <w:between w:color="auto" w:space="0" w:sz="0" w:val="none"/>
        </w:pBdr>
        <w:spacing w:after="0" w:afterAutospacing="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Oral contraceptives packaged in “dial-packs”;</w:t>
      </w:r>
    </w:p>
    <w:p w:rsidR="00000000" w:rsidDel="00000000" w:rsidP="00000000" w:rsidRDefault="00000000" w:rsidRPr="00000000" w14:paraId="000000EB">
      <w:pPr>
        <w:numPr>
          <w:ilvl w:val="0"/>
          <w:numId w:val="11"/>
        </w:numPr>
        <w:pBdr>
          <w:top w:color="auto" w:space="0" w:sz="0" w:val="none"/>
          <w:left w:color="auto" w:space="0" w:sz="0" w:val="none"/>
          <w:bottom w:color="auto" w:space="0" w:sz="0" w:val="none"/>
          <w:right w:color="auto" w:space="0" w:sz="0" w:val="none"/>
          <w:between w:color="auto" w:space="0" w:sz="0" w:val="none"/>
        </w:pBdr>
        <w:spacing w:after="0" w:afterAutospacing="0" w:line="392.72727272727275" w:lineRule="auto"/>
        <w:ind w:left="720" w:hanging="360"/>
        <w:rPr>
          <w:rFonts w:ascii="Cambria" w:cs="Cambria" w:eastAsia="Cambria" w:hAnsi="Cambria"/>
          <w:b w:val="1"/>
          <w:color w:val="000000"/>
          <w:sz w:val="22"/>
          <w:szCs w:val="22"/>
        </w:rPr>
      </w:pPr>
      <w:r w:rsidDel="00000000" w:rsidR="00000000" w:rsidRPr="00000000">
        <w:rPr>
          <w:rFonts w:ascii="Cambria" w:cs="Cambria" w:eastAsia="Cambria" w:hAnsi="Cambria"/>
          <w:b w:val="1"/>
          <w:rtl w:val="0"/>
        </w:rPr>
        <w:t xml:space="preserve">Unit dose potassium supplements;</w:t>
      </w:r>
    </w:p>
    <w:p w:rsidR="00000000" w:rsidDel="00000000" w:rsidP="00000000" w:rsidRDefault="00000000" w:rsidRPr="00000000" w14:paraId="000000EC">
      <w:pPr>
        <w:numPr>
          <w:ilvl w:val="0"/>
          <w:numId w:val="11"/>
        </w:numPr>
        <w:pBdr>
          <w:top w:color="auto" w:space="0" w:sz="0" w:val="none"/>
          <w:left w:color="auto" w:space="0" w:sz="0" w:val="none"/>
          <w:bottom w:color="auto" w:space="0" w:sz="0" w:val="none"/>
          <w:right w:color="auto" w:space="0" w:sz="0" w:val="none"/>
          <w:between w:color="auto" w:space="0" w:sz="0" w:val="none"/>
        </w:pBdr>
        <w:spacing w:after="0" w:afterAutospacing="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Cholestyramine and colestipol powder;</w:t>
      </w:r>
    </w:p>
    <w:p w:rsidR="00000000" w:rsidDel="00000000" w:rsidP="00000000" w:rsidRDefault="00000000" w:rsidRPr="00000000" w14:paraId="000000ED">
      <w:pPr>
        <w:numPr>
          <w:ilvl w:val="0"/>
          <w:numId w:val="11"/>
        </w:numPr>
        <w:pBdr>
          <w:top w:color="auto" w:space="0" w:sz="0" w:val="none"/>
          <w:left w:color="auto" w:space="0" w:sz="0" w:val="none"/>
          <w:bottom w:color="auto" w:space="0" w:sz="0" w:val="none"/>
          <w:right w:color="auto" w:space="0" w:sz="0" w:val="none"/>
          <w:between w:color="auto" w:space="0" w:sz="0" w:val="none"/>
        </w:pBdr>
        <w:spacing w:after="24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Aerosol inhalation products.</w:t>
      </w:r>
    </w:p>
    <w:p w:rsidR="00000000" w:rsidDel="00000000" w:rsidP="00000000" w:rsidRDefault="00000000" w:rsidRPr="00000000" w14:paraId="000000EE">
      <w:pPr>
        <w:pBdr>
          <w:top w:color="auto" w:space="0" w:sz="0" w:val="none"/>
          <w:left w:color="auto" w:space="0" w:sz="0" w:val="none"/>
          <w:bottom w:color="auto" w:space="0" w:sz="0" w:val="none"/>
          <w:right w:color="auto" w:space="0" w:sz="0" w:val="none"/>
          <w:between w:color="auto" w:space="0" w:sz="0" w:val="none"/>
        </w:pBdr>
        <w:spacing w:after="280" w:line="392.72727272727275" w:lineRule="auto"/>
        <w:rPr>
          <w:rFonts w:ascii="Cambria" w:cs="Cambria" w:eastAsia="Cambria" w:hAnsi="Cambria"/>
          <w:i w:val="1"/>
        </w:rPr>
      </w:pPr>
      <w:r w:rsidDel="00000000" w:rsidR="00000000" w:rsidRPr="00000000">
        <w:rPr>
          <w:rFonts w:ascii="Cambria" w:cs="Cambria" w:eastAsia="Cambria" w:hAnsi="Cambria"/>
          <w:i w:val="1"/>
          <w:rtl w:val="0"/>
        </w:rPr>
        <w:t xml:space="preserve">Obtaining Consent/Authorization to Dispense without a Safety Cap</w:t>
      </w:r>
    </w:p>
    <w:p w:rsidR="00000000" w:rsidDel="00000000" w:rsidP="00000000" w:rsidRDefault="00000000" w:rsidRPr="00000000" w14:paraId="000000EF">
      <w:pPr>
        <w:numPr>
          <w:ilvl w:val="0"/>
          <w:numId w:val="15"/>
        </w:numPr>
        <w:pBdr>
          <w:top w:color="auto" w:space="0" w:sz="0" w:val="none"/>
          <w:left w:color="auto" w:space="0" w:sz="0" w:val="none"/>
          <w:bottom w:color="auto" w:space="0" w:sz="0" w:val="none"/>
          <w:right w:color="auto" w:space="0" w:sz="0" w:val="none"/>
          <w:between w:color="auto" w:space="0" w:sz="0" w:val="none"/>
        </w:pBdr>
        <w:spacing w:after="0" w:afterAutospacing="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If a patient requests no safety cap, it can be dispensed without a safety cap. The patient can give consent for all prescriptions ever dispensed from the pharmacy.</w:t>
      </w:r>
    </w:p>
    <w:p w:rsidR="00000000" w:rsidDel="00000000" w:rsidP="00000000" w:rsidRDefault="00000000" w:rsidRPr="00000000" w14:paraId="000000F0">
      <w:pPr>
        <w:numPr>
          <w:ilvl w:val="0"/>
          <w:numId w:val="15"/>
        </w:numPr>
        <w:pBdr>
          <w:top w:color="auto" w:space="0" w:sz="0" w:val="none"/>
          <w:left w:color="auto" w:space="0" w:sz="0" w:val="none"/>
          <w:bottom w:color="auto" w:space="0" w:sz="0" w:val="none"/>
          <w:right w:color="auto" w:space="0" w:sz="0" w:val="none"/>
          <w:between w:color="auto" w:space="0" w:sz="0" w:val="none"/>
        </w:pBdr>
        <w:spacing w:after="24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A physician can indicate on the prescription that a safety cap is not required. However, the consent or authorization provided by the doctor applies ONLY to that drug, and any subsequent refills on the same prescription.</w:t>
      </w:r>
    </w:p>
    <w:p w:rsidR="00000000" w:rsidDel="00000000" w:rsidP="00000000" w:rsidRDefault="00000000" w:rsidRPr="00000000" w14:paraId="000000F1">
      <w:pPr>
        <w:pBdr>
          <w:top w:color="auto" w:space="0" w:sz="0" w:val="none"/>
          <w:left w:color="auto" w:space="0" w:sz="0" w:val="none"/>
          <w:bottom w:color="auto" w:space="0" w:sz="0" w:val="none"/>
          <w:right w:color="auto" w:space="0" w:sz="0" w:val="none"/>
          <w:between w:color="auto" w:space="0" w:sz="0" w:val="none"/>
        </w:pBdr>
        <w:spacing w:after="240" w:line="392.72727272727275" w:lineRule="auto"/>
        <w:ind w:left="0" w:firstLine="0"/>
        <w:rPr>
          <w:rFonts w:ascii="Cambria" w:cs="Cambria" w:eastAsia="Cambria" w:hAnsi="Cambria"/>
        </w:rPr>
      </w:pPr>
      <w:r w:rsidDel="00000000" w:rsidR="00000000" w:rsidRPr="00000000">
        <w:rPr>
          <w:rFonts w:ascii="Cambria" w:cs="Cambria" w:eastAsia="Cambria" w:hAnsi="Cambria"/>
          <w:rtl w:val="0"/>
        </w:rPr>
        <w:t xml:space="preserve">Questions</w:t>
      </w:r>
    </w:p>
    <w:p w:rsidR="00000000" w:rsidDel="00000000" w:rsidP="00000000" w:rsidRDefault="00000000" w:rsidRPr="00000000" w14:paraId="000000F2">
      <w:pPr>
        <w:numPr>
          <w:ilvl w:val="0"/>
          <w:numId w:val="31"/>
        </w:numPr>
        <w:pBdr>
          <w:top w:color="auto" w:space="0" w:sz="0" w:val="none"/>
          <w:left w:color="auto" w:space="0" w:sz="0" w:val="none"/>
          <w:bottom w:color="auto" w:space="0" w:sz="0" w:val="none"/>
          <w:right w:color="auto" w:space="0" w:sz="0" w:val="none"/>
          <w:between w:color="auto" w:space="0" w:sz="0" w:val="none"/>
        </w:pBdr>
        <w:spacing w:after="0" w:afterAutospacing="0" w:line="392.72727272727275" w:lineRule="auto"/>
        <w:ind w:left="720" w:hanging="360"/>
        <w:rPr>
          <w:rFonts w:ascii="Cambria" w:cs="Cambria" w:eastAsia="Cambria" w:hAnsi="Cambria"/>
        </w:rPr>
      </w:pPr>
      <w:r w:rsidDel="00000000" w:rsidR="00000000" w:rsidRPr="00000000">
        <w:rPr>
          <w:rFonts w:ascii="Cambria" w:cs="Cambria" w:eastAsia="Cambria" w:hAnsi="Cambria"/>
          <w:rtl w:val="0"/>
        </w:rPr>
        <w:t xml:space="preserve">Diazepam theft</w:t>
      </w:r>
    </w:p>
    <w:p w:rsidR="00000000" w:rsidDel="00000000" w:rsidP="00000000" w:rsidRDefault="00000000" w:rsidRPr="00000000" w14:paraId="000000F3">
      <w:pPr>
        <w:numPr>
          <w:ilvl w:val="1"/>
          <w:numId w:val="31"/>
        </w:numPr>
        <w:pBdr>
          <w:top w:color="auto" w:space="0" w:sz="0" w:val="none"/>
          <w:left w:color="auto" w:space="0" w:sz="0" w:val="none"/>
          <w:bottom w:color="auto" w:space="0" w:sz="0" w:val="none"/>
          <w:right w:color="auto" w:space="0" w:sz="0" w:val="none"/>
          <w:between w:color="auto" w:space="0" w:sz="0" w:val="none"/>
        </w:pBdr>
        <w:spacing w:after="240" w:line="392.72727272727275" w:lineRule="auto"/>
        <w:ind w:left="1440" w:hanging="360"/>
        <w:rPr>
          <w:rFonts w:ascii="Cambria" w:cs="Cambria" w:eastAsia="Cambria" w:hAnsi="Cambria"/>
        </w:rPr>
      </w:pPr>
      <w:r w:rsidDel="00000000" w:rsidR="00000000" w:rsidRPr="00000000">
        <w:rPr>
          <w:rFonts w:ascii="Cambria" w:cs="Cambria" w:eastAsia="Cambria" w:hAnsi="Cambria"/>
          <w:rtl w:val="0"/>
        </w:rPr>
        <w:t xml:space="preserve">You are required to report any theft or significant loss of controlled substances to the DEA. If you determine that the medication was not stolen, you must determine if an unexplained loss of 100 tablets of diazepam is significant. You should always err on the side of reporting a loss, and given the quantity missing, and the abuse potential of the product that is missing, you should report this loss using a DEA Form 106. You may also be required to submit a report to the state board of pharmacy or other state pharmacy regulator, as many states have their own laws requiring that controlled substances losses and thefts be reported.</w:t>
      </w:r>
    </w:p>
    <w:p w:rsidR="00000000" w:rsidDel="00000000" w:rsidP="00000000" w:rsidRDefault="00000000" w:rsidRPr="00000000" w14:paraId="000000F4">
      <w:pPr>
        <w:pBdr>
          <w:top w:color="auto" w:space="0" w:sz="0" w:val="none"/>
          <w:left w:color="auto" w:space="0" w:sz="0" w:val="none"/>
          <w:bottom w:color="auto" w:space="0" w:sz="0" w:val="none"/>
          <w:right w:color="auto" w:space="0" w:sz="0" w:val="none"/>
          <w:between w:color="auto" w:space="0" w:sz="0" w:val="none"/>
        </w:pBdr>
        <w:spacing w:after="240" w:line="392.72727272727275" w:lineRule="auto"/>
        <w:ind w:left="0" w:firstLine="0"/>
        <w:rPr>
          <w:rFonts w:ascii="Cambria" w:cs="Cambria" w:eastAsia="Cambria" w:hAnsi="Cambria"/>
        </w:rPr>
      </w:pPr>
      <w:r w:rsidDel="00000000" w:rsidR="00000000" w:rsidRPr="00000000">
        <w:rPr>
          <w:rtl w:val="0"/>
        </w:rPr>
      </w:r>
    </w:p>
    <w:p w:rsidR="00000000" w:rsidDel="00000000" w:rsidP="00000000" w:rsidRDefault="00000000" w:rsidRPr="00000000" w14:paraId="000000F5">
      <w:pPr>
        <w:numPr>
          <w:ilvl w:val="0"/>
          <w:numId w:val="18"/>
        </w:numPr>
        <w:pBdr>
          <w:top w:color="auto" w:space="0" w:sz="0" w:val="none"/>
          <w:left w:color="auto" w:space="0" w:sz="0" w:val="none"/>
          <w:bottom w:color="auto" w:space="0" w:sz="0" w:val="none"/>
          <w:right w:color="auto" w:space="0" w:sz="0" w:val="none"/>
          <w:between w:color="auto" w:space="0" w:sz="0" w:val="none"/>
        </w:pBdr>
        <w:spacing w:after="0" w:afterAutospacing="0" w:line="392.72727272727275" w:lineRule="auto"/>
        <w:ind w:left="720" w:hanging="360"/>
        <w:rPr>
          <w:rFonts w:ascii="Cambria" w:cs="Cambria" w:eastAsia="Cambria" w:hAnsi="Cambria"/>
        </w:rPr>
      </w:pPr>
      <w:r w:rsidDel="00000000" w:rsidR="00000000" w:rsidRPr="00000000">
        <w:rPr>
          <w:rFonts w:ascii="Cambria" w:cs="Cambria" w:eastAsia="Cambria" w:hAnsi="Cambria"/>
          <w:rtl w:val="0"/>
        </w:rPr>
        <w:t xml:space="preserve">ANDA</w:t>
      </w:r>
    </w:p>
    <w:p w:rsidR="00000000" w:rsidDel="00000000" w:rsidP="00000000" w:rsidRDefault="00000000" w:rsidRPr="00000000" w14:paraId="000000F6">
      <w:pPr>
        <w:numPr>
          <w:ilvl w:val="1"/>
          <w:numId w:val="18"/>
        </w:numPr>
        <w:pBdr>
          <w:top w:color="auto" w:space="0" w:sz="0" w:val="none"/>
          <w:left w:color="auto" w:space="0" w:sz="0" w:val="none"/>
          <w:bottom w:color="auto" w:space="0" w:sz="0" w:val="none"/>
          <w:right w:color="auto" w:space="0" w:sz="0" w:val="none"/>
          <w:between w:color="auto" w:space="0" w:sz="0" w:val="none"/>
        </w:pBdr>
        <w:spacing w:after="280" w:line="392.72727272727275" w:lineRule="auto"/>
        <w:ind w:left="1440" w:hanging="360"/>
        <w:rPr>
          <w:rFonts w:ascii="Cambria" w:cs="Cambria" w:eastAsia="Cambria" w:hAnsi="Cambria"/>
        </w:rPr>
      </w:pPr>
      <w:r w:rsidDel="00000000" w:rsidR="00000000" w:rsidRPr="00000000">
        <w:rPr>
          <w:rFonts w:ascii="Cambria" w:cs="Cambria" w:eastAsia="Cambria" w:hAnsi="Cambria"/>
          <w:rtl w:val="0"/>
        </w:rPr>
        <w:t xml:space="preserve">Must show proof generic drug exhibits similar pharmacokinetics, bioavailability, and clinical efficacy as the brand name drug</w:t>
      </w:r>
    </w:p>
    <w:p w:rsidR="00000000" w:rsidDel="00000000" w:rsidP="00000000" w:rsidRDefault="00000000" w:rsidRPr="00000000" w14:paraId="000000F7">
      <w:pPr>
        <w:pBdr>
          <w:top w:color="auto" w:space="0" w:sz="0" w:val="none"/>
          <w:left w:color="auto" w:space="0" w:sz="0" w:val="none"/>
          <w:bottom w:color="auto" w:space="0" w:sz="0" w:val="none"/>
          <w:right w:color="auto" w:space="0" w:sz="0" w:val="none"/>
          <w:between w:color="auto" w:space="0" w:sz="0" w:val="none"/>
        </w:pBdr>
        <w:spacing w:after="280" w:line="392.72727272727275" w:lineRule="auto"/>
        <w:ind w:left="0" w:firstLine="0"/>
        <w:rPr>
          <w:rFonts w:ascii="Cambria" w:cs="Cambria" w:eastAsia="Cambria" w:hAnsi="Cambria"/>
        </w:rPr>
      </w:pPr>
      <w:r w:rsidDel="00000000" w:rsidR="00000000" w:rsidRPr="00000000">
        <w:rPr>
          <w:rtl w:val="0"/>
        </w:rPr>
      </w:r>
    </w:p>
    <w:sectPr>
      <w:pgSz w:h="15840" w:w="12240"/>
      <w:pgMar w:bottom="72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mbr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rFonts w:ascii="Arial" w:cs="Arial" w:eastAsia="Arial" w:hAnsi="Arial"/>
        <w:color w:val="333333"/>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rFonts w:ascii="Arial" w:cs="Arial" w:eastAsia="Arial" w:hAnsi="Arial"/>
        <w:color w:val="333333"/>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decimal"/>
      <w:lvlText w:val="%1."/>
      <w:lvlJc w:val="left"/>
      <w:pPr>
        <w:ind w:left="720" w:hanging="360"/>
      </w:pPr>
      <w:rPr>
        <w:rFonts w:ascii="Arial" w:cs="Arial" w:eastAsia="Arial" w:hAnsi="Arial"/>
        <w:color w:val="333333"/>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lvl w:ilvl="0">
      <w:start w:val="1"/>
      <w:numFmt w:val="bullet"/>
      <w:lvlText w:val="●"/>
      <w:lvlJc w:val="left"/>
      <w:pPr>
        <w:ind w:left="720" w:hanging="360"/>
      </w:pPr>
      <w:rPr>
        <w:rFonts w:ascii="Arial" w:cs="Arial" w:eastAsia="Arial" w:hAnsi="Arial"/>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decimal"/>
      <w:lvlText w:val="%1."/>
      <w:lvlJc w:val="left"/>
      <w:pPr>
        <w:ind w:left="720" w:hanging="360"/>
      </w:pPr>
      <w:rPr>
        <w:rFonts w:ascii="Arial" w:cs="Arial" w:eastAsia="Arial" w:hAnsi="Arial"/>
        <w:color w:val="333333"/>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lvl w:ilvl="0">
      <w:start w:val="1"/>
      <w:numFmt w:val="decimal"/>
      <w:lvlText w:val="%1."/>
      <w:lvlJc w:val="left"/>
      <w:pPr>
        <w:ind w:left="720" w:hanging="360"/>
      </w:pPr>
      <w:rPr>
        <w:rFonts w:ascii="Arial" w:cs="Arial" w:eastAsia="Arial" w:hAnsi="Arial"/>
        <w:color w:val="333333"/>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lvl w:ilvl="0">
      <w:start w:val="1"/>
      <w:numFmt w:val="decimal"/>
      <w:lvlText w:val="%1."/>
      <w:lvlJc w:val="left"/>
      <w:pPr>
        <w:ind w:left="720" w:hanging="360"/>
      </w:pPr>
      <w:rPr>
        <w:rFonts w:ascii="Arial" w:cs="Arial" w:eastAsia="Arial" w:hAnsi="Arial"/>
        <w:color w:val="333333"/>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
    <w:lvl w:ilvl="0">
      <w:start w:val="1"/>
      <w:numFmt w:val="bullet"/>
      <w:lvlText w:val="●"/>
      <w:lvlJc w:val="left"/>
      <w:pPr>
        <w:ind w:left="720" w:hanging="360"/>
      </w:pPr>
      <w:rPr>
        <w:rFonts w:ascii="Arial" w:cs="Arial" w:eastAsia="Arial" w:hAnsi="Arial"/>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decimal"/>
      <w:lvlText w:val="%1."/>
      <w:lvlJc w:val="left"/>
      <w:pPr>
        <w:ind w:left="720" w:hanging="360"/>
      </w:pPr>
      <w:rPr>
        <w:rFonts w:ascii="Arial" w:cs="Arial" w:eastAsia="Arial" w:hAnsi="Arial"/>
        <w:color w:val="333333"/>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
    <w:lvl w:ilvl="0">
      <w:start w:val="1"/>
      <w:numFmt w:val="bullet"/>
      <w:lvlText w:val="●"/>
      <w:lvlJc w:val="left"/>
      <w:pPr>
        <w:ind w:left="720" w:hanging="360"/>
      </w:pPr>
      <w:rPr>
        <w:rFonts w:ascii="Arial" w:cs="Arial" w:eastAsia="Arial" w:hAnsi="Arial"/>
        <w:color w:val="333333"/>
        <w:sz w:val="24"/>
        <w:szCs w:val="24"/>
        <w:u w:val="none"/>
      </w:rPr>
    </w:lvl>
    <w:lvl w:ilvl="1">
      <w:start w:val="1"/>
      <w:numFmt w:val="bullet"/>
      <w:lvlText w:val="○"/>
      <w:lvlJc w:val="left"/>
      <w:pPr>
        <w:ind w:left="1440" w:hanging="360"/>
      </w:pPr>
      <w:rPr>
        <w:rFonts w:ascii="Arial" w:cs="Arial" w:eastAsia="Arial" w:hAnsi="Arial"/>
        <w:color w:val="333333"/>
        <w:sz w:val="24"/>
        <w:szCs w:val="24"/>
        <w:u w:val="none"/>
      </w:rPr>
    </w:lvl>
    <w:lvl w:ilvl="2">
      <w:start w:val="1"/>
      <w:numFmt w:val="bullet"/>
      <w:lvlText w:val="■"/>
      <w:lvlJc w:val="left"/>
      <w:pPr>
        <w:ind w:left="2160" w:hanging="360"/>
      </w:pPr>
      <w:rPr>
        <w:rFonts w:ascii="Arial" w:cs="Arial" w:eastAsia="Arial" w:hAnsi="Arial"/>
        <w:color w:val="333333"/>
        <w:sz w:val="24"/>
        <w:szCs w:val="24"/>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decimal"/>
      <w:lvlText w:val="%1."/>
      <w:lvlJc w:val="left"/>
      <w:pPr>
        <w:ind w:left="720" w:hanging="360"/>
      </w:pPr>
      <w:rPr>
        <w:rFonts w:ascii="Arial" w:cs="Arial" w:eastAsia="Arial" w:hAnsi="Arial"/>
        <w:color w:val="333333"/>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rFonts w:ascii="Arial" w:cs="Arial" w:eastAsia="Arial" w:hAnsi="Arial"/>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decimal"/>
      <w:lvlText w:val="%1."/>
      <w:lvlJc w:val="left"/>
      <w:pPr>
        <w:ind w:left="720" w:hanging="360"/>
      </w:pPr>
      <w:rPr>
        <w:rFonts w:ascii="Arial" w:cs="Arial" w:eastAsia="Arial" w:hAnsi="Arial"/>
        <w:color w:val="333333"/>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
    <w:lvl w:ilvl="0">
      <w:start w:val="1"/>
      <w:numFmt w:val="bullet"/>
      <w:lvlText w:val="●"/>
      <w:lvlJc w:val="left"/>
      <w:pPr>
        <w:ind w:left="720" w:hanging="360"/>
      </w:pPr>
      <w:rPr>
        <w:rFonts w:ascii="Arial" w:cs="Arial" w:eastAsia="Arial" w:hAnsi="Arial"/>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decimal"/>
      <w:lvlText w:val="%1."/>
      <w:lvlJc w:val="left"/>
      <w:pPr>
        <w:ind w:left="720" w:hanging="360"/>
      </w:pPr>
      <w:rPr>
        <w:rFonts w:ascii="Arial" w:cs="Arial" w:eastAsia="Arial" w:hAnsi="Arial"/>
        <w:color w:val="333333"/>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decimal"/>
      <w:lvlText w:val="%1."/>
      <w:lvlJc w:val="left"/>
      <w:pPr>
        <w:ind w:left="720" w:hanging="360"/>
      </w:pPr>
      <w:rPr>
        <w:rFonts w:ascii="Arial" w:cs="Arial" w:eastAsia="Arial" w:hAnsi="Arial"/>
        <w:color w:val="333333"/>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decimal"/>
      <w:lvlText w:val="%1."/>
      <w:lvlJc w:val="left"/>
      <w:pPr>
        <w:ind w:left="720" w:hanging="360"/>
      </w:pPr>
      <w:rPr>
        <w:rFonts w:ascii="Arial" w:cs="Arial" w:eastAsia="Arial" w:hAnsi="Arial"/>
        <w:color w:val="333333"/>
        <w:sz w:val="24"/>
        <w:szCs w:val="24"/>
        <w:u w:val="none"/>
      </w:rPr>
    </w:lvl>
    <w:lvl w:ilvl="1">
      <w:start w:val="1"/>
      <w:numFmt w:val="decimal"/>
      <w:lvlText w:val="%2."/>
      <w:lvlJc w:val="left"/>
      <w:pPr>
        <w:ind w:left="1440" w:hanging="360"/>
      </w:pPr>
      <w:rPr>
        <w:rFonts w:ascii="Arial" w:cs="Arial" w:eastAsia="Arial" w:hAnsi="Arial"/>
        <w:color w:val="333333"/>
        <w:sz w:val="24"/>
        <w:szCs w:val="24"/>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7">
    <w:lvl w:ilvl="0">
      <w:start w:val="1"/>
      <w:numFmt w:val="decimal"/>
      <w:lvlText w:val="%1."/>
      <w:lvlJc w:val="left"/>
      <w:pPr>
        <w:ind w:left="720" w:hanging="360"/>
      </w:pPr>
      <w:rPr>
        <w:rFonts w:ascii="Arial" w:cs="Arial" w:eastAsia="Arial" w:hAnsi="Arial"/>
        <w:color w:val="333333"/>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8">
    <w:lvl w:ilvl="0">
      <w:start w:val="1"/>
      <w:numFmt w:val="decimal"/>
      <w:lvlText w:val="%1."/>
      <w:lvlJc w:val="left"/>
      <w:pPr>
        <w:ind w:left="720" w:hanging="360"/>
      </w:pPr>
      <w:rPr>
        <w:rFonts w:ascii="Arial" w:cs="Arial" w:eastAsia="Arial" w:hAnsi="Arial"/>
        <w:color w:val="333333"/>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9">
    <w:lvl w:ilvl="0">
      <w:start w:val="1"/>
      <w:numFmt w:val="decimal"/>
      <w:lvlText w:val="%1."/>
      <w:lvlJc w:val="left"/>
      <w:pPr>
        <w:ind w:left="720" w:hanging="360"/>
      </w:pPr>
      <w:rPr>
        <w:rFonts w:ascii="Arial" w:cs="Arial" w:eastAsia="Arial" w:hAnsi="Arial"/>
        <w:color w:val="333333"/>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0">
    <w:lvl w:ilvl="0">
      <w:start w:val="1"/>
      <w:numFmt w:val="bullet"/>
      <w:lvlText w:val="●"/>
      <w:lvlJc w:val="left"/>
      <w:pPr>
        <w:ind w:left="720" w:hanging="360"/>
      </w:pPr>
      <w:rPr>
        <w:rFonts w:ascii="Arial" w:cs="Arial" w:eastAsia="Arial" w:hAnsi="Arial"/>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decimal"/>
      <w:lvlText w:val="%1."/>
      <w:lvlJc w:val="left"/>
      <w:pPr>
        <w:ind w:left="720" w:hanging="360"/>
      </w:pPr>
      <w:rPr>
        <w:rFonts w:ascii="Arial" w:cs="Arial" w:eastAsia="Arial" w:hAnsi="Arial"/>
        <w:color w:val="333333"/>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4">
    <w:lvl w:ilvl="0">
      <w:start w:val="1"/>
      <w:numFmt w:val="decimal"/>
      <w:lvlText w:val="%1."/>
      <w:lvlJc w:val="left"/>
      <w:pPr>
        <w:ind w:left="720" w:hanging="360"/>
      </w:pPr>
      <w:rPr>
        <w:rFonts w:ascii="Arial" w:cs="Arial" w:eastAsia="Arial" w:hAnsi="Arial"/>
        <w:color w:val="333333"/>
        <w:sz w:val="24"/>
        <w:szCs w:val="24"/>
        <w:u w:val="none"/>
      </w:rPr>
    </w:lvl>
    <w:lvl w:ilvl="1">
      <w:start w:val="1"/>
      <w:numFmt w:val="decimal"/>
      <w:lvlText w:val="%2."/>
      <w:lvlJc w:val="left"/>
      <w:pPr>
        <w:ind w:left="1440" w:hanging="360"/>
      </w:pPr>
      <w:rPr>
        <w:rFonts w:ascii="Arial" w:cs="Arial" w:eastAsia="Arial" w:hAnsi="Arial"/>
        <w:color w:val="333333"/>
        <w:sz w:val="24"/>
        <w:szCs w:val="24"/>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rFonts w:ascii="Arial" w:cs="Arial" w:eastAsia="Arial" w:hAnsi="Arial"/>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rFonts w:ascii="Arial" w:cs="Arial" w:eastAsia="Arial" w:hAnsi="Arial"/>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accesspharmacy.mhmedical.com/drugs.aspx?GbosID=427110" TargetMode="External"/><Relationship Id="rId10" Type="http://schemas.openxmlformats.org/officeDocument/2006/relationships/hyperlink" Target="https://accesspharmacy.mhmedical.com/drugs.aspx?GbosID=425096" TargetMode="External"/><Relationship Id="rId13" Type="http://schemas.openxmlformats.org/officeDocument/2006/relationships/hyperlink" Target="https://accesspharmacy.mhmedical.com/content.aspx?bookid=1354&amp;sectionid=72529755#fei_ch1fn17" TargetMode="External"/><Relationship Id="rId12" Type="http://schemas.openxmlformats.org/officeDocument/2006/relationships/hyperlink" Target="https://accesspharmacy.mhmedical.com/content.aspx?bookid=1354&amp;sectionid=72529755#fei_ch1fn16"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accesspharmacy.mhmedical.com/drugs.aspx?GbosID=427110" TargetMode="External"/><Relationship Id="rId15" Type="http://schemas.openxmlformats.org/officeDocument/2006/relationships/hyperlink" Target="https://accesspharmacy.mhmedical.com/drugs.aspx?GbosID=427219" TargetMode="External"/><Relationship Id="rId14" Type="http://schemas.openxmlformats.org/officeDocument/2006/relationships/hyperlink" Target="https://accesspharmacy.mhmedical.com/content.aspx?bookid=1354&amp;sectionid=72529755#fei_ch1fn20" TargetMode="External"/><Relationship Id="rId16" Type="http://schemas.openxmlformats.org/officeDocument/2006/relationships/hyperlink" Target="https://accesspharmacy.mhmedical.com/content.aspx?bookid=1354&amp;sectionid=72529755#fei_ch1fn31" TargetMode="External"/><Relationship Id="rId5" Type="http://schemas.openxmlformats.org/officeDocument/2006/relationships/styles" Target="styles.xml"/><Relationship Id="rId6" Type="http://schemas.openxmlformats.org/officeDocument/2006/relationships/hyperlink" Target="https://accesspharmacy.mhmedical.com/drugs.aspx?GbosID=130832" TargetMode="External"/><Relationship Id="rId7" Type="http://schemas.openxmlformats.org/officeDocument/2006/relationships/hyperlink" Target="https://accesspharmacy.mhmedical.com/content.aspx?bookid=1354&amp;sectionid=72529755#fei_ch1fn10" TargetMode="External"/><Relationship Id="rId8" Type="http://schemas.openxmlformats.org/officeDocument/2006/relationships/hyperlink" Target="https://accesspharmacy.mhmedical.com/content.aspx?bookid=1354&amp;sectionid=72529755#fei_ch1fn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